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67275" w14:textId="2D45781A" w:rsidR="00B014B5" w:rsidRPr="005057FE" w:rsidRDefault="00674039" w:rsidP="00A8026F">
      <w:pPr>
        <w:rPr>
          <w:rFonts w:ascii="Arial" w:hAnsi="Arial" w:cs="Arial"/>
          <w:b/>
          <w:bCs/>
          <w:u w:val="single"/>
        </w:rPr>
      </w:pPr>
      <w:r>
        <w:rPr>
          <w:rFonts w:ascii="Arial" w:hAnsi="Arial" w:cs="Arial"/>
          <w:b/>
          <w:bCs/>
          <w:u w:val="single"/>
        </w:rPr>
        <w:t>LOCAL</w:t>
      </w:r>
      <w:r w:rsidR="005057FE" w:rsidRPr="005057FE">
        <w:rPr>
          <w:rFonts w:ascii="Arial" w:hAnsi="Arial" w:cs="Arial"/>
          <w:b/>
          <w:bCs/>
          <w:u w:val="single"/>
        </w:rPr>
        <w:t xml:space="preserve"> </w:t>
      </w:r>
      <w:r w:rsidR="00B014B5" w:rsidRPr="005057FE">
        <w:rPr>
          <w:rFonts w:ascii="Arial" w:hAnsi="Arial" w:cs="Arial"/>
          <w:b/>
          <w:bCs/>
          <w:u w:val="single"/>
        </w:rPr>
        <w:t xml:space="preserve">PENSION BOARD </w:t>
      </w:r>
      <w:r>
        <w:rPr>
          <w:rFonts w:ascii="Arial" w:hAnsi="Arial" w:cs="Arial"/>
          <w:b/>
          <w:bCs/>
          <w:u w:val="single"/>
        </w:rPr>
        <w:t xml:space="preserve">ANNUAL REPORT: </w:t>
      </w:r>
      <w:r w:rsidR="00B014B5" w:rsidRPr="005057FE">
        <w:rPr>
          <w:rFonts w:ascii="Arial" w:hAnsi="Arial" w:cs="Arial"/>
          <w:b/>
          <w:bCs/>
          <w:u w:val="single"/>
        </w:rPr>
        <w:t xml:space="preserve"> </w:t>
      </w:r>
      <w:r>
        <w:rPr>
          <w:rFonts w:ascii="Arial" w:hAnsi="Arial" w:cs="Arial"/>
          <w:b/>
          <w:bCs/>
          <w:u w:val="single"/>
        </w:rPr>
        <w:t>YEAR ENDED 31</w:t>
      </w:r>
      <w:r w:rsidR="00B014B5" w:rsidRPr="005057FE">
        <w:rPr>
          <w:rFonts w:ascii="Arial" w:hAnsi="Arial" w:cs="Arial"/>
          <w:b/>
          <w:bCs/>
          <w:u w:val="single"/>
        </w:rPr>
        <w:t xml:space="preserve"> MARCH </w:t>
      </w:r>
      <w:r w:rsidR="004B3E41" w:rsidRPr="005057FE">
        <w:rPr>
          <w:rFonts w:ascii="Arial" w:hAnsi="Arial" w:cs="Arial"/>
          <w:b/>
          <w:bCs/>
          <w:u w:val="single"/>
        </w:rPr>
        <w:t>2025 </w:t>
      </w:r>
    </w:p>
    <w:p w14:paraId="6CC170B5" w14:textId="77777777" w:rsidR="00B014B5" w:rsidRPr="005057FE" w:rsidRDefault="00B014B5" w:rsidP="00B014B5">
      <w:pPr>
        <w:rPr>
          <w:rFonts w:ascii="Arial" w:hAnsi="Arial" w:cs="Arial"/>
        </w:rPr>
      </w:pPr>
      <w:r w:rsidRPr="005057FE">
        <w:rPr>
          <w:rFonts w:ascii="Arial" w:hAnsi="Arial" w:cs="Arial"/>
        </w:rPr>
        <w:t>The Pension Board (“the Board”) has been established to meet the requirements defined in the Public Services Pensions Act 2013. The Board’s statutory duties are to: </w:t>
      </w:r>
    </w:p>
    <w:p w14:paraId="540DC7DD" w14:textId="77777777" w:rsidR="00B014B5" w:rsidRPr="005057FE" w:rsidRDefault="00B014B5" w:rsidP="00B014B5">
      <w:pPr>
        <w:numPr>
          <w:ilvl w:val="0"/>
          <w:numId w:val="2"/>
        </w:numPr>
        <w:rPr>
          <w:rFonts w:ascii="Arial" w:hAnsi="Arial" w:cs="Arial"/>
        </w:rPr>
      </w:pPr>
      <w:r w:rsidRPr="005057FE">
        <w:rPr>
          <w:rFonts w:ascii="Arial" w:hAnsi="Arial" w:cs="Arial"/>
        </w:rPr>
        <w:t>Ensure the Fund’s compliance with legislation, regulation and guidance, along with the Pension Regulator’s (TPR) requirements. </w:t>
      </w:r>
    </w:p>
    <w:p w14:paraId="2FB949B8" w14:textId="77777777" w:rsidR="00B014B5" w:rsidRPr="005057FE" w:rsidRDefault="00B014B5" w:rsidP="00B014B5">
      <w:pPr>
        <w:numPr>
          <w:ilvl w:val="0"/>
          <w:numId w:val="3"/>
        </w:numPr>
        <w:rPr>
          <w:rFonts w:ascii="Arial" w:hAnsi="Arial" w:cs="Arial"/>
        </w:rPr>
      </w:pPr>
      <w:r w:rsidRPr="005057FE">
        <w:rPr>
          <w:rFonts w:ascii="Arial" w:hAnsi="Arial" w:cs="Arial"/>
        </w:rPr>
        <w:t>Ensure that the Fund’s governance and scheme administration is effective and efficient. </w:t>
      </w:r>
    </w:p>
    <w:p w14:paraId="31ED4761" w14:textId="13C2CDCC" w:rsidR="00B014B5" w:rsidRPr="005057FE" w:rsidRDefault="00B014B5" w:rsidP="00B014B5">
      <w:pPr>
        <w:rPr>
          <w:rFonts w:ascii="Arial" w:hAnsi="Arial" w:cs="Arial"/>
        </w:rPr>
      </w:pPr>
      <w:r w:rsidRPr="005057FE">
        <w:rPr>
          <w:rFonts w:ascii="Arial" w:hAnsi="Arial" w:cs="Arial"/>
        </w:rPr>
        <w:t>The Board primarily focuses on governance and administration issues. The Pension Service has a work programme that periodically reviews its policy statements. The Board seeks to deliver effective advice and assurance in line with the agreed Terms of Reference and the Administering Authority’s Constitution. </w:t>
      </w:r>
    </w:p>
    <w:p w14:paraId="5BE2E42A" w14:textId="335DB7D8" w:rsidR="00B014B5" w:rsidRPr="005057FE" w:rsidRDefault="00B014B5" w:rsidP="00B014B5">
      <w:pPr>
        <w:rPr>
          <w:rFonts w:ascii="Arial" w:hAnsi="Arial" w:cs="Arial"/>
        </w:rPr>
      </w:pPr>
      <w:r w:rsidRPr="005057FE">
        <w:rPr>
          <w:rFonts w:ascii="Arial" w:hAnsi="Arial" w:cs="Arial"/>
        </w:rPr>
        <w:t>During 202</w:t>
      </w:r>
      <w:r w:rsidR="004B3E41" w:rsidRPr="005057FE">
        <w:rPr>
          <w:rFonts w:ascii="Arial" w:hAnsi="Arial" w:cs="Arial"/>
        </w:rPr>
        <w:t>4</w:t>
      </w:r>
      <w:r w:rsidR="0070367C" w:rsidRPr="005057FE">
        <w:rPr>
          <w:rFonts w:ascii="Arial" w:hAnsi="Arial" w:cs="Arial"/>
        </w:rPr>
        <w:t>-</w:t>
      </w:r>
      <w:r w:rsidRPr="005057FE">
        <w:rPr>
          <w:rFonts w:ascii="Arial" w:hAnsi="Arial" w:cs="Arial"/>
        </w:rPr>
        <w:t>2</w:t>
      </w:r>
      <w:r w:rsidR="004B3E41" w:rsidRPr="005057FE">
        <w:rPr>
          <w:rFonts w:ascii="Arial" w:hAnsi="Arial" w:cs="Arial"/>
        </w:rPr>
        <w:t>5</w:t>
      </w:r>
      <w:r w:rsidRPr="005057FE">
        <w:rPr>
          <w:rFonts w:ascii="Arial" w:hAnsi="Arial" w:cs="Arial"/>
        </w:rPr>
        <w:t xml:space="preserve"> the Board’s meetings </w:t>
      </w:r>
      <w:r w:rsidR="004B3E41" w:rsidRPr="005057FE">
        <w:rPr>
          <w:rFonts w:ascii="Arial" w:hAnsi="Arial" w:cs="Arial"/>
        </w:rPr>
        <w:t>continue</w:t>
      </w:r>
      <w:r w:rsidR="0070367C" w:rsidRPr="005057FE">
        <w:rPr>
          <w:rFonts w:ascii="Arial" w:hAnsi="Arial" w:cs="Arial"/>
        </w:rPr>
        <w:t>d</w:t>
      </w:r>
      <w:r w:rsidR="004B3E41" w:rsidRPr="005057FE">
        <w:rPr>
          <w:rFonts w:ascii="Arial" w:hAnsi="Arial" w:cs="Arial"/>
        </w:rPr>
        <w:t xml:space="preserve"> to be held </w:t>
      </w:r>
      <w:r w:rsidRPr="005057FE">
        <w:rPr>
          <w:rFonts w:ascii="Arial" w:hAnsi="Arial" w:cs="Arial"/>
        </w:rPr>
        <w:t xml:space="preserve">using a hybrid arrangement with some members meeting in person with Fund Officers, and others attending virtually using Zoom &amp; Teams. As the Board is not formally a committee with any significant decision-making powers, it is envisaged that the Board will continue to meet that way for the foreseeable future. The Board has continued the process of developing the knowledge and skills of the Board members to enable them to undertake their duties with confidence. </w:t>
      </w:r>
      <w:r w:rsidR="004B3E41" w:rsidRPr="005057FE">
        <w:rPr>
          <w:rFonts w:ascii="Arial" w:hAnsi="Arial" w:cs="Arial"/>
        </w:rPr>
        <w:t xml:space="preserve">All </w:t>
      </w:r>
      <w:r w:rsidRPr="005057FE">
        <w:rPr>
          <w:rFonts w:ascii="Arial" w:hAnsi="Arial" w:cs="Arial"/>
        </w:rPr>
        <w:t>Board members updated their Pensions Regulator training during the year. </w:t>
      </w:r>
    </w:p>
    <w:p w14:paraId="26820A51" w14:textId="3B4CB47D" w:rsidR="00CE373B" w:rsidRPr="005057FE" w:rsidRDefault="004B3E41" w:rsidP="00B014B5">
      <w:pPr>
        <w:rPr>
          <w:rFonts w:ascii="Arial" w:hAnsi="Arial" w:cs="Arial"/>
        </w:rPr>
      </w:pPr>
      <w:r w:rsidRPr="005057FE">
        <w:rPr>
          <w:rFonts w:ascii="Arial" w:hAnsi="Arial" w:cs="Arial"/>
        </w:rPr>
        <w:t>During the latter half of 2024-25, the board appointed a new Scheme Member Representative, filling a long-standing vacancy</w:t>
      </w:r>
      <w:r w:rsidR="00CE373B" w:rsidRPr="005057FE">
        <w:rPr>
          <w:rFonts w:ascii="Arial" w:hAnsi="Arial" w:cs="Arial"/>
        </w:rPr>
        <w:t xml:space="preserve">, and has concluded its review of membership terms of office to support a planned recruitment activities as </w:t>
      </w:r>
      <w:r w:rsidR="00B61711">
        <w:rPr>
          <w:rFonts w:ascii="Arial" w:hAnsi="Arial" w:cs="Arial"/>
        </w:rPr>
        <w:t>M</w:t>
      </w:r>
      <w:r w:rsidR="00CE373B" w:rsidRPr="005057FE">
        <w:rPr>
          <w:rFonts w:ascii="Arial" w:hAnsi="Arial" w:cs="Arial"/>
        </w:rPr>
        <w:t xml:space="preserve">embers reach the end of their term. </w:t>
      </w:r>
      <w:r w:rsidRPr="005057FE">
        <w:rPr>
          <w:rFonts w:ascii="Arial" w:hAnsi="Arial" w:cs="Arial"/>
        </w:rPr>
        <w:t xml:space="preserve"> </w:t>
      </w:r>
    </w:p>
    <w:p w14:paraId="460F972D" w14:textId="46EC152E" w:rsidR="00CE373B" w:rsidRPr="005057FE" w:rsidRDefault="00CE373B" w:rsidP="00B014B5">
      <w:pPr>
        <w:rPr>
          <w:rFonts w:ascii="Arial" w:hAnsi="Arial" w:cs="Arial"/>
        </w:rPr>
      </w:pPr>
      <w:bookmarkStart w:id="0" w:name="_Hlk197440197"/>
      <w:r w:rsidRPr="005057FE">
        <w:rPr>
          <w:rFonts w:ascii="Arial" w:hAnsi="Arial" w:cs="Arial"/>
        </w:rPr>
        <w:t xml:space="preserve">The Board also concluded the review of its Terms of Reference, </w:t>
      </w:r>
      <w:r w:rsidR="006B0C1E">
        <w:rPr>
          <w:rFonts w:ascii="Arial" w:hAnsi="Arial" w:cs="Arial"/>
        </w:rPr>
        <w:t xml:space="preserve">which, following </w:t>
      </w:r>
      <w:r w:rsidRPr="005057FE">
        <w:rPr>
          <w:rFonts w:ascii="Arial" w:hAnsi="Arial" w:cs="Arial"/>
        </w:rPr>
        <w:t xml:space="preserve">a recommendation </w:t>
      </w:r>
      <w:r w:rsidR="006B0C1E">
        <w:rPr>
          <w:rFonts w:ascii="Arial" w:hAnsi="Arial" w:cs="Arial"/>
        </w:rPr>
        <w:t xml:space="preserve">from the Board, were adopted by </w:t>
      </w:r>
      <w:r w:rsidRPr="005057FE">
        <w:rPr>
          <w:rFonts w:ascii="Arial" w:hAnsi="Arial" w:cs="Arial"/>
        </w:rPr>
        <w:t xml:space="preserve">the Pension Fund Committee </w:t>
      </w:r>
      <w:r w:rsidR="006B0C1E">
        <w:rPr>
          <w:rFonts w:ascii="Arial" w:hAnsi="Arial" w:cs="Arial"/>
        </w:rPr>
        <w:t>o</w:t>
      </w:r>
      <w:r w:rsidRPr="005057FE">
        <w:rPr>
          <w:rFonts w:ascii="Arial" w:hAnsi="Arial" w:cs="Arial"/>
        </w:rPr>
        <w:t xml:space="preserve">n </w:t>
      </w:r>
      <w:r w:rsidR="006B0C1E">
        <w:rPr>
          <w:rFonts w:ascii="Arial" w:hAnsi="Arial" w:cs="Arial"/>
        </w:rPr>
        <w:t xml:space="preserve">17 </w:t>
      </w:r>
      <w:r w:rsidRPr="005057FE">
        <w:rPr>
          <w:rFonts w:ascii="Arial" w:hAnsi="Arial" w:cs="Arial"/>
        </w:rPr>
        <w:t>March 2025</w:t>
      </w:r>
      <w:r w:rsidR="006B0C1E">
        <w:rPr>
          <w:rFonts w:ascii="Arial" w:hAnsi="Arial" w:cs="Arial"/>
        </w:rPr>
        <w:t xml:space="preserve">. The </w:t>
      </w:r>
      <w:r w:rsidR="00B61711">
        <w:rPr>
          <w:rFonts w:ascii="Arial" w:hAnsi="Arial" w:cs="Arial"/>
        </w:rPr>
        <w:t xml:space="preserve">Pension Fund </w:t>
      </w:r>
      <w:r w:rsidR="006B0C1E">
        <w:rPr>
          <w:rFonts w:ascii="Arial" w:hAnsi="Arial" w:cs="Arial"/>
        </w:rPr>
        <w:t>Committee then made a recommendation to Full Council</w:t>
      </w:r>
      <w:r w:rsidRPr="005057FE">
        <w:rPr>
          <w:rFonts w:ascii="Arial" w:hAnsi="Arial" w:cs="Arial"/>
        </w:rPr>
        <w:t xml:space="preserve"> for the revised Terms of Reference to be adopted into the Administering Authority’s Constitution. </w:t>
      </w:r>
      <w:r w:rsidR="006B0C1E">
        <w:rPr>
          <w:rFonts w:ascii="Arial" w:hAnsi="Arial" w:cs="Arial"/>
        </w:rPr>
        <w:t>This was completed at the Council meeting on 23 April 2025.</w:t>
      </w:r>
    </w:p>
    <w:bookmarkEnd w:id="0"/>
    <w:p w14:paraId="0D82F42B" w14:textId="493E789E" w:rsidR="00B014B5" w:rsidRPr="005057FE" w:rsidRDefault="00CE373B" w:rsidP="00B014B5">
      <w:pPr>
        <w:rPr>
          <w:rFonts w:ascii="Arial" w:hAnsi="Arial" w:cs="Arial"/>
        </w:rPr>
      </w:pPr>
      <w:r w:rsidRPr="005057FE">
        <w:rPr>
          <w:rFonts w:ascii="Arial" w:hAnsi="Arial" w:cs="Arial"/>
        </w:rPr>
        <w:t xml:space="preserve">Throughout </w:t>
      </w:r>
      <w:r w:rsidR="00B014B5" w:rsidRPr="005057FE">
        <w:rPr>
          <w:rFonts w:ascii="Arial" w:hAnsi="Arial" w:cs="Arial"/>
        </w:rPr>
        <w:t>202</w:t>
      </w:r>
      <w:r w:rsidRPr="005057FE">
        <w:rPr>
          <w:rFonts w:ascii="Arial" w:hAnsi="Arial" w:cs="Arial"/>
        </w:rPr>
        <w:t>4</w:t>
      </w:r>
      <w:r w:rsidR="0070367C" w:rsidRPr="005057FE">
        <w:rPr>
          <w:rFonts w:ascii="Arial" w:hAnsi="Arial" w:cs="Arial"/>
        </w:rPr>
        <w:t>-</w:t>
      </w:r>
      <w:r w:rsidR="00B014B5" w:rsidRPr="005057FE">
        <w:rPr>
          <w:rFonts w:ascii="Arial" w:hAnsi="Arial" w:cs="Arial"/>
        </w:rPr>
        <w:t>2</w:t>
      </w:r>
      <w:r w:rsidRPr="005057FE">
        <w:rPr>
          <w:rFonts w:ascii="Arial" w:hAnsi="Arial" w:cs="Arial"/>
        </w:rPr>
        <w:t>5</w:t>
      </w:r>
      <w:r w:rsidR="00A8026F" w:rsidRPr="005057FE">
        <w:rPr>
          <w:rFonts w:ascii="Arial" w:hAnsi="Arial" w:cs="Arial"/>
        </w:rPr>
        <w:t>,</w:t>
      </w:r>
      <w:r w:rsidR="00B014B5" w:rsidRPr="005057FE">
        <w:rPr>
          <w:rFonts w:ascii="Arial" w:hAnsi="Arial" w:cs="Arial"/>
        </w:rPr>
        <w:t xml:space="preserve"> </w:t>
      </w:r>
      <w:r w:rsidR="00B61711">
        <w:rPr>
          <w:rFonts w:ascii="Arial" w:hAnsi="Arial" w:cs="Arial"/>
        </w:rPr>
        <w:t xml:space="preserve">the </w:t>
      </w:r>
      <w:r w:rsidR="00B014B5" w:rsidRPr="005057FE">
        <w:rPr>
          <w:rFonts w:ascii="Arial" w:hAnsi="Arial" w:cs="Arial"/>
        </w:rPr>
        <w:t>Board</w:t>
      </w:r>
      <w:r w:rsidR="00B61711">
        <w:rPr>
          <w:rFonts w:ascii="Arial" w:hAnsi="Arial" w:cs="Arial"/>
        </w:rPr>
        <w:t>’s</w:t>
      </w:r>
      <w:r w:rsidR="00B014B5" w:rsidRPr="005057FE">
        <w:rPr>
          <w:rFonts w:ascii="Arial" w:hAnsi="Arial" w:cs="Arial"/>
        </w:rPr>
        <w:t xml:space="preserve"> meetings occurred </w:t>
      </w:r>
      <w:r w:rsidR="00A8026F" w:rsidRPr="005057FE">
        <w:rPr>
          <w:rFonts w:ascii="Arial" w:hAnsi="Arial" w:cs="Arial"/>
        </w:rPr>
        <w:t>i</w:t>
      </w:r>
      <w:r w:rsidR="00B014B5" w:rsidRPr="005057FE">
        <w:rPr>
          <w:rFonts w:ascii="Arial" w:hAnsi="Arial" w:cs="Arial"/>
        </w:rPr>
        <w:t xml:space="preserve">n the morning </w:t>
      </w:r>
      <w:r w:rsidR="00A8026F" w:rsidRPr="005057FE">
        <w:rPr>
          <w:rFonts w:ascii="Arial" w:hAnsi="Arial" w:cs="Arial"/>
        </w:rPr>
        <w:t xml:space="preserve">on the same day as </w:t>
      </w:r>
      <w:r w:rsidR="00B014B5" w:rsidRPr="005057FE">
        <w:rPr>
          <w:rFonts w:ascii="Arial" w:hAnsi="Arial" w:cs="Arial"/>
        </w:rPr>
        <w:t xml:space="preserve">the Pension Fund Committee. This allowed full consideration of the </w:t>
      </w:r>
      <w:r w:rsidR="00B61711">
        <w:rPr>
          <w:rFonts w:ascii="Arial" w:hAnsi="Arial" w:cs="Arial"/>
        </w:rPr>
        <w:t xml:space="preserve">Pension Fund </w:t>
      </w:r>
      <w:r w:rsidR="00B014B5" w:rsidRPr="005057FE">
        <w:rPr>
          <w:rFonts w:ascii="Arial" w:hAnsi="Arial" w:cs="Arial"/>
        </w:rPr>
        <w:t xml:space="preserve">Committee papers with a strong focus on the Fund’s administration, reviewing statutory documentation as it has been published. </w:t>
      </w:r>
      <w:r w:rsidR="00D468FD" w:rsidRPr="005057FE">
        <w:rPr>
          <w:rFonts w:ascii="Arial" w:hAnsi="Arial" w:cs="Arial"/>
        </w:rPr>
        <w:t>For 202</w:t>
      </w:r>
      <w:r w:rsidR="0070367C" w:rsidRPr="005057FE">
        <w:rPr>
          <w:rFonts w:ascii="Arial" w:hAnsi="Arial" w:cs="Arial"/>
        </w:rPr>
        <w:t>5-26</w:t>
      </w:r>
      <w:r w:rsidR="00D468FD" w:rsidRPr="005057FE">
        <w:rPr>
          <w:rFonts w:ascii="Arial" w:hAnsi="Arial" w:cs="Arial"/>
        </w:rPr>
        <w:t xml:space="preserve">, the Board will meet </w:t>
      </w:r>
      <w:r w:rsidR="00A8026F" w:rsidRPr="005057FE">
        <w:rPr>
          <w:rFonts w:ascii="Arial" w:hAnsi="Arial" w:cs="Arial"/>
        </w:rPr>
        <w:t xml:space="preserve">separately </w:t>
      </w:r>
      <w:r w:rsidR="00D468FD" w:rsidRPr="005057FE">
        <w:rPr>
          <w:rFonts w:ascii="Arial" w:hAnsi="Arial" w:cs="Arial"/>
        </w:rPr>
        <w:t xml:space="preserve">between </w:t>
      </w:r>
      <w:r w:rsidR="00B61711">
        <w:rPr>
          <w:rFonts w:ascii="Arial" w:hAnsi="Arial" w:cs="Arial"/>
        </w:rPr>
        <w:t>Pension Fund C</w:t>
      </w:r>
      <w:r w:rsidR="00D468FD" w:rsidRPr="005057FE">
        <w:rPr>
          <w:rFonts w:ascii="Arial" w:hAnsi="Arial" w:cs="Arial"/>
        </w:rPr>
        <w:t xml:space="preserve">ommittee meeting dates, allowing time for the board to fully consider changes to the </w:t>
      </w:r>
      <w:r w:rsidR="00B61711">
        <w:rPr>
          <w:rFonts w:ascii="Arial" w:hAnsi="Arial" w:cs="Arial"/>
        </w:rPr>
        <w:t>F</w:t>
      </w:r>
      <w:r w:rsidR="00D468FD" w:rsidRPr="005057FE">
        <w:rPr>
          <w:rFonts w:ascii="Arial" w:hAnsi="Arial" w:cs="Arial"/>
        </w:rPr>
        <w:t xml:space="preserve">und’s governance statements, and for their feedback to be incorporated into recommendations to committee. </w:t>
      </w:r>
      <w:r w:rsidR="00B014B5" w:rsidRPr="005057FE">
        <w:rPr>
          <w:rFonts w:ascii="Arial" w:hAnsi="Arial" w:cs="Arial"/>
        </w:rPr>
        <w:t>Particular attention continues to be given to the Fund’s Risk Register with updates made and normally discussed between Board Members and Pension Fund Officers during each quarterly meeting. </w:t>
      </w:r>
    </w:p>
    <w:p w14:paraId="20A63CAB" w14:textId="19FD47A1" w:rsidR="00B014B5" w:rsidRPr="005057FE" w:rsidRDefault="00B014B5" w:rsidP="00B014B5">
      <w:pPr>
        <w:rPr>
          <w:rFonts w:ascii="Arial" w:hAnsi="Arial" w:cs="Arial"/>
        </w:rPr>
      </w:pPr>
      <w:r w:rsidRPr="005057FE">
        <w:rPr>
          <w:rFonts w:ascii="Arial" w:hAnsi="Arial" w:cs="Arial"/>
        </w:rPr>
        <w:t>Outside the Board</w:t>
      </w:r>
      <w:r w:rsidR="00D468FD" w:rsidRPr="005057FE">
        <w:rPr>
          <w:rFonts w:ascii="Arial" w:hAnsi="Arial" w:cs="Arial"/>
        </w:rPr>
        <w:t>,</w:t>
      </w:r>
      <w:r w:rsidRPr="005057FE">
        <w:rPr>
          <w:rFonts w:ascii="Arial" w:hAnsi="Arial" w:cs="Arial"/>
        </w:rPr>
        <w:t xml:space="preserve"> </w:t>
      </w:r>
      <w:r w:rsidR="00D468FD" w:rsidRPr="005057FE">
        <w:rPr>
          <w:rFonts w:ascii="Arial" w:hAnsi="Arial" w:cs="Arial"/>
        </w:rPr>
        <w:t>membership of the Pension Fund Committee and Pension Fund Senior Officers has remained stable throughout 2024-25</w:t>
      </w:r>
      <w:r w:rsidRPr="005057FE">
        <w:rPr>
          <w:rFonts w:ascii="Arial" w:hAnsi="Arial" w:cs="Arial"/>
        </w:rPr>
        <w:t xml:space="preserve">. </w:t>
      </w:r>
      <w:r w:rsidR="00F66939" w:rsidRPr="005057FE">
        <w:rPr>
          <w:rFonts w:ascii="Arial" w:hAnsi="Arial" w:cs="Arial"/>
        </w:rPr>
        <w:t>During 2024-25 the board considered the Employer Flexibilities Policy, the LPPI Shareholder Voting Policy and the Risk Management Policy, as well as considering the Fund’s initial compliance against the Pensions Regulator’s General Code</w:t>
      </w:r>
      <w:r w:rsidR="00C06542" w:rsidRPr="005057FE">
        <w:rPr>
          <w:rFonts w:ascii="Arial" w:hAnsi="Arial" w:cs="Arial"/>
        </w:rPr>
        <w:t xml:space="preserve"> and a thorough review of the Fund’s Risk Register</w:t>
      </w:r>
      <w:r w:rsidRPr="005057FE">
        <w:rPr>
          <w:rFonts w:ascii="Arial" w:hAnsi="Arial" w:cs="Arial"/>
        </w:rPr>
        <w:t>. As usual the range of annual amendments to scheme regulations and over-arching legislation to contend with have meant a continuing period of change. As usual the Pension Team has kept pace with various changes and where possible sought to get ahead with new processes. </w:t>
      </w:r>
    </w:p>
    <w:p w14:paraId="4A0D786D" w14:textId="695FB66E" w:rsidR="00B014B5" w:rsidRPr="005057FE" w:rsidRDefault="00B014B5" w:rsidP="00B014B5">
      <w:pPr>
        <w:rPr>
          <w:rFonts w:ascii="Arial" w:hAnsi="Arial" w:cs="Arial"/>
        </w:rPr>
      </w:pPr>
      <w:r w:rsidRPr="005057FE">
        <w:rPr>
          <w:rFonts w:ascii="Arial" w:hAnsi="Arial" w:cs="Arial"/>
        </w:rPr>
        <w:lastRenderedPageBreak/>
        <w:t xml:space="preserve">The Board continues to keep under review the Pension </w:t>
      </w:r>
      <w:r w:rsidR="00B61711">
        <w:rPr>
          <w:rFonts w:ascii="Arial" w:hAnsi="Arial" w:cs="Arial"/>
        </w:rPr>
        <w:t xml:space="preserve">Fund </w:t>
      </w:r>
      <w:r w:rsidRPr="005057FE">
        <w:rPr>
          <w:rFonts w:ascii="Arial" w:hAnsi="Arial" w:cs="Arial"/>
        </w:rPr>
        <w:t xml:space="preserve">Committee’s work-plan offering whatever assistance it can give to the Administering Authority in fulfilling its statutory duties of governance and administration, with the Chair of the Board normally attending the Pension </w:t>
      </w:r>
      <w:r w:rsidR="00B61711">
        <w:rPr>
          <w:rFonts w:ascii="Arial" w:hAnsi="Arial" w:cs="Arial"/>
        </w:rPr>
        <w:t xml:space="preserve">Fund </w:t>
      </w:r>
      <w:r w:rsidRPr="005057FE">
        <w:rPr>
          <w:rFonts w:ascii="Arial" w:hAnsi="Arial" w:cs="Arial"/>
        </w:rPr>
        <w:t>Committee meetings. There will always be room for improvement, but the work of the Board helps to establish clear priorities for future activity. </w:t>
      </w:r>
    </w:p>
    <w:p w14:paraId="01D1C0B2" w14:textId="1CE6E739" w:rsidR="00B014B5" w:rsidRPr="005057FE" w:rsidRDefault="00B014B5" w:rsidP="00B014B5">
      <w:pPr>
        <w:rPr>
          <w:rFonts w:ascii="Arial" w:hAnsi="Arial" w:cs="Arial"/>
          <w:b/>
          <w:bCs/>
        </w:rPr>
      </w:pPr>
      <w:r w:rsidRPr="005057FE">
        <w:rPr>
          <w:rFonts w:ascii="Arial" w:hAnsi="Arial" w:cs="Arial"/>
          <w:b/>
          <w:bCs/>
        </w:rPr>
        <w:t> </w:t>
      </w:r>
      <w:r w:rsidR="00601556" w:rsidRPr="005057FE">
        <w:rPr>
          <w:rFonts w:ascii="Arial" w:hAnsi="Arial" w:cs="Arial"/>
          <w:b/>
          <w:bCs/>
        </w:rPr>
        <w:t>Board membership and meeting attendance</w:t>
      </w:r>
    </w:p>
    <w:p w14:paraId="42284F77" w14:textId="1F86845D" w:rsidR="00601556" w:rsidRPr="005057FE" w:rsidRDefault="00601556" w:rsidP="00B014B5">
      <w:pPr>
        <w:rPr>
          <w:rFonts w:ascii="Arial" w:hAnsi="Arial" w:cs="Arial"/>
        </w:rPr>
      </w:pPr>
      <w:r w:rsidRPr="005057FE">
        <w:rPr>
          <w:rFonts w:ascii="Arial" w:hAnsi="Arial" w:cs="Arial"/>
        </w:rPr>
        <w:t>Throughout 2024-25, the Board met four times, in June, September and December 2024 and March 2025. A summary of attendance is provided below.</w:t>
      </w:r>
    </w:p>
    <w:tbl>
      <w:tblPr>
        <w:tblStyle w:val="TableGrid"/>
        <w:tblW w:w="0" w:type="auto"/>
        <w:tblLook w:val="04A0" w:firstRow="1" w:lastRow="0" w:firstColumn="1" w:lastColumn="0" w:noHBand="0" w:noVBand="1"/>
      </w:tblPr>
      <w:tblGrid>
        <w:gridCol w:w="1838"/>
        <w:gridCol w:w="2670"/>
        <w:gridCol w:w="1866"/>
        <w:gridCol w:w="1559"/>
      </w:tblGrid>
      <w:tr w:rsidR="00601556" w:rsidRPr="005057FE" w14:paraId="446ADBEC" w14:textId="77777777" w:rsidTr="00601556">
        <w:tc>
          <w:tcPr>
            <w:tcW w:w="1838" w:type="dxa"/>
          </w:tcPr>
          <w:p w14:paraId="1BA82A95" w14:textId="0A44006B" w:rsidR="00601556" w:rsidRPr="005057FE" w:rsidRDefault="00601556" w:rsidP="00B014B5">
            <w:pPr>
              <w:rPr>
                <w:rFonts w:ascii="Arial" w:hAnsi="Arial" w:cs="Arial"/>
                <w:b/>
                <w:bCs/>
              </w:rPr>
            </w:pPr>
            <w:r w:rsidRPr="005057FE">
              <w:rPr>
                <w:rFonts w:ascii="Arial" w:hAnsi="Arial" w:cs="Arial"/>
                <w:b/>
                <w:bCs/>
              </w:rPr>
              <w:t>Board member</w:t>
            </w:r>
          </w:p>
        </w:tc>
        <w:tc>
          <w:tcPr>
            <w:tcW w:w="2670" w:type="dxa"/>
          </w:tcPr>
          <w:p w14:paraId="1D7646C3" w14:textId="5935D37C" w:rsidR="00601556" w:rsidRPr="005057FE" w:rsidRDefault="00601556" w:rsidP="00B014B5">
            <w:pPr>
              <w:rPr>
                <w:rFonts w:ascii="Arial" w:hAnsi="Arial" w:cs="Arial"/>
                <w:b/>
                <w:bCs/>
              </w:rPr>
            </w:pPr>
            <w:r w:rsidRPr="005057FE">
              <w:rPr>
                <w:rFonts w:ascii="Arial" w:hAnsi="Arial" w:cs="Arial"/>
                <w:b/>
                <w:bCs/>
              </w:rPr>
              <w:t xml:space="preserve">Representation </w:t>
            </w:r>
          </w:p>
        </w:tc>
        <w:tc>
          <w:tcPr>
            <w:tcW w:w="1866" w:type="dxa"/>
          </w:tcPr>
          <w:p w14:paraId="5D8555E5" w14:textId="3154D359" w:rsidR="00601556" w:rsidRPr="005057FE" w:rsidRDefault="00601556" w:rsidP="00674039">
            <w:pPr>
              <w:jc w:val="center"/>
              <w:rPr>
                <w:rFonts w:ascii="Arial" w:hAnsi="Arial" w:cs="Arial"/>
                <w:b/>
                <w:bCs/>
              </w:rPr>
            </w:pPr>
            <w:r w:rsidRPr="005057FE">
              <w:rPr>
                <w:rFonts w:ascii="Arial" w:hAnsi="Arial" w:cs="Arial"/>
                <w:b/>
                <w:bCs/>
              </w:rPr>
              <w:t>Eligible to attend</w:t>
            </w:r>
          </w:p>
        </w:tc>
        <w:tc>
          <w:tcPr>
            <w:tcW w:w="1559" w:type="dxa"/>
          </w:tcPr>
          <w:p w14:paraId="5F3D0EBA" w14:textId="48686BAD" w:rsidR="00601556" w:rsidRPr="005057FE" w:rsidRDefault="00601556" w:rsidP="00B014B5">
            <w:pPr>
              <w:rPr>
                <w:rFonts w:ascii="Arial" w:hAnsi="Arial" w:cs="Arial"/>
                <w:b/>
                <w:bCs/>
              </w:rPr>
            </w:pPr>
            <w:r w:rsidRPr="005057FE">
              <w:rPr>
                <w:rFonts w:ascii="Arial" w:hAnsi="Arial" w:cs="Arial"/>
                <w:b/>
                <w:bCs/>
              </w:rPr>
              <w:t>Attendance</w:t>
            </w:r>
            <w:r w:rsidR="000227D7" w:rsidRPr="005057FE">
              <w:rPr>
                <w:rFonts w:ascii="Arial" w:hAnsi="Arial" w:cs="Arial"/>
                <w:b/>
                <w:bCs/>
              </w:rPr>
              <w:t xml:space="preserve"> </w:t>
            </w:r>
          </w:p>
        </w:tc>
      </w:tr>
      <w:tr w:rsidR="00601556" w:rsidRPr="005057FE" w14:paraId="01A2BA97" w14:textId="77777777" w:rsidTr="00601556">
        <w:tc>
          <w:tcPr>
            <w:tcW w:w="1838" w:type="dxa"/>
          </w:tcPr>
          <w:p w14:paraId="5283CB38" w14:textId="38F0B1A8" w:rsidR="00601556" w:rsidRPr="005057FE" w:rsidRDefault="00601556" w:rsidP="00B014B5">
            <w:pPr>
              <w:rPr>
                <w:rFonts w:ascii="Arial" w:hAnsi="Arial" w:cs="Arial"/>
              </w:rPr>
            </w:pPr>
            <w:r w:rsidRPr="005057FE">
              <w:rPr>
                <w:rFonts w:ascii="Arial" w:hAnsi="Arial" w:cs="Arial"/>
              </w:rPr>
              <w:t>Alan Cross</w:t>
            </w:r>
          </w:p>
        </w:tc>
        <w:tc>
          <w:tcPr>
            <w:tcW w:w="2670" w:type="dxa"/>
          </w:tcPr>
          <w:p w14:paraId="2517FF0F" w14:textId="6C6DFD29" w:rsidR="00601556" w:rsidRPr="005057FE" w:rsidRDefault="00601556" w:rsidP="00B014B5">
            <w:pPr>
              <w:rPr>
                <w:rFonts w:ascii="Arial" w:hAnsi="Arial" w:cs="Arial"/>
              </w:rPr>
            </w:pPr>
            <w:r w:rsidRPr="005057FE">
              <w:rPr>
                <w:rFonts w:ascii="Arial" w:hAnsi="Arial" w:cs="Arial"/>
              </w:rPr>
              <w:t>Scheme Member (</w:t>
            </w:r>
            <w:r w:rsidR="00E75A25">
              <w:rPr>
                <w:rFonts w:ascii="Arial" w:hAnsi="Arial" w:cs="Arial"/>
              </w:rPr>
              <w:t>C</w:t>
            </w:r>
            <w:r w:rsidRPr="005057FE">
              <w:rPr>
                <w:rFonts w:ascii="Arial" w:hAnsi="Arial" w:cs="Arial"/>
              </w:rPr>
              <w:t>hair)</w:t>
            </w:r>
          </w:p>
        </w:tc>
        <w:tc>
          <w:tcPr>
            <w:tcW w:w="1866" w:type="dxa"/>
          </w:tcPr>
          <w:p w14:paraId="24A0A284" w14:textId="76CAA058" w:rsidR="00601556" w:rsidRPr="005057FE" w:rsidRDefault="00601556" w:rsidP="00601556">
            <w:pPr>
              <w:jc w:val="center"/>
              <w:rPr>
                <w:rFonts w:ascii="Arial" w:hAnsi="Arial" w:cs="Arial"/>
              </w:rPr>
            </w:pPr>
            <w:r w:rsidRPr="005057FE">
              <w:rPr>
                <w:rFonts w:ascii="Arial" w:hAnsi="Arial" w:cs="Arial"/>
              </w:rPr>
              <w:t>4</w:t>
            </w:r>
          </w:p>
        </w:tc>
        <w:tc>
          <w:tcPr>
            <w:tcW w:w="1559" w:type="dxa"/>
          </w:tcPr>
          <w:p w14:paraId="4187610B" w14:textId="490599A2" w:rsidR="00601556" w:rsidRPr="005057FE" w:rsidRDefault="00601556" w:rsidP="00601556">
            <w:pPr>
              <w:jc w:val="center"/>
              <w:rPr>
                <w:rFonts w:ascii="Arial" w:hAnsi="Arial" w:cs="Arial"/>
              </w:rPr>
            </w:pPr>
            <w:r w:rsidRPr="005057FE">
              <w:rPr>
                <w:rFonts w:ascii="Arial" w:hAnsi="Arial" w:cs="Arial"/>
              </w:rPr>
              <w:t>4</w:t>
            </w:r>
          </w:p>
        </w:tc>
      </w:tr>
      <w:tr w:rsidR="00601556" w:rsidRPr="005057FE" w14:paraId="7F3F6132" w14:textId="77777777" w:rsidTr="00601556">
        <w:tc>
          <w:tcPr>
            <w:tcW w:w="1838" w:type="dxa"/>
          </w:tcPr>
          <w:p w14:paraId="5ADCF34B" w14:textId="4A07041C" w:rsidR="00601556" w:rsidRPr="005057FE" w:rsidRDefault="00601556" w:rsidP="00B014B5">
            <w:pPr>
              <w:rPr>
                <w:rFonts w:ascii="Arial" w:hAnsi="Arial" w:cs="Arial"/>
              </w:rPr>
            </w:pPr>
            <w:r w:rsidRPr="005057FE">
              <w:rPr>
                <w:rFonts w:ascii="Arial" w:hAnsi="Arial" w:cs="Arial"/>
              </w:rPr>
              <w:t>Arthur Parker</w:t>
            </w:r>
          </w:p>
        </w:tc>
        <w:tc>
          <w:tcPr>
            <w:tcW w:w="2670" w:type="dxa"/>
          </w:tcPr>
          <w:p w14:paraId="696E662D" w14:textId="7B2EC246" w:rsidR="00601556" w:rsidRPr="005057FE" w:rsidRDefault="00601556" w:rsidP="00B014B5">
            <w:pPr>
              <w:rPr>
                <w:rFonts w:ascii="Arial" w:hAnsi="Arial" w:cs="Arial"/>
              </w:rPr>
            </w:pPr>
            <w:r w:rsidRPr="005057FE">
              <w:rPr>
                <w:rFonts w:ascii="Arial" w:hAnsi="Arial" w:cs="Arial"/>
              </w:rPr>
              <w:t>Employer (Vice Chair)</w:t>
            </w:r>
          </w:p>
        </w:tc>
        <w:tc>
          <w:tcPr>
            <w:tcW w:w="1866" w:type="dxa"/>
          </w:tcPr>
          <w:p w14:paraId="4B52C129" w14:textId="23BFED9D" w:rsidR="00601556" w:rsidRPr="005057FE" w:rsidRDefault="00601556" w:rsidP="00601556">
            <w:pPr>
              <w:jc w:val="center"/>
              <w:rPr>
                <w:rFonts w:ascii="Arial" w:hAnsi="Arial" w:cs="Arial"/>
              </w:rPr>
            </w:pPr>
            <w:r w:rsidRPr="005057FE">
              <w:rPr>
                <w:rFonts w:ascii="Arial" w:hAnsi="Arial" w:cs="Arial"/>
              </w:rPr>
              <w:t>4</w:t>
            </w:r>
          </w:p>
        </w:tc>
        <w:tc>
          <w:tcPr>
            <w:tcW w:w="1559" w:type="dxa"/>
          </w:tcPr>
          <w:p w14:paraId="40C9228D" w14:textId="23D06391" w:rsidR="00601556" w:rsidRPr="005057FE" w:rsidRDefault="00601556" w:rsidP="00601556">
            <w:pPr>
              <w:jc w:val="center"/>
              <w:rPr>
                <w:rFonts w:ascii="Arial" w:hAnsi="Arial" w:cs="Arial"/>
              </w:rPr>
            </w:pPr>
            <w:r w:rsidRPr="005057FE">
              <w:rPr>
                <w:rFonts w:ascii="Arial" w:hAnsi="Arial" w:cs="Arial"/>
              </w:rPr>
              <w:t>4</w:t>
            </w:r>
          </w:p>
        </w:tc>
      </w:tr>
      <w:tr w:rsidR="00601556" w:rsidRPr="005057FE" w14:paraId="5F0BCBA9" w14:textId="77777777" w:rsidTr="00601556">
        <w:tc>
          <w:tcPr>
            <w:tcW w:w="1838" w:type="dxa"/>
          </w:tcPr>
          <w:p w14:paraId="3D80C389" w14:textId="54B2D868" w:rsidR="00601556" w:rsidRPr="005057FE" w:rsidRDefault="00601556" w:rsidP="00B014B5">
            <w:pPr>
              <w:rPr>
                <w:rFonts w:ascii="Arial" w:hAnsi="Arial" w:cs="Arial"/>
              </w:rPr>
            </w:pPr>
            <w:r w:rsidRPr="005057FE">
              <w:rPr>
                <w:rFonts w:ascii="Arial" w:hAnsi="Arial" w:cs="Arial"/>
              </w:rPr>
              <w:t>Neil Bullough</w:t>
            </w:r>
          </w:p>
        </w:tc>
        <w:tc>
          <w:tcPr>
            <w:tcW w:w="2670" w:type="dxa"/>
          </w:tcPr>
          <w:p w14:paraId="0FDA28BA" w14:textId="2FFF565C" w:rsidR="00601556" w:rsidRPr="005057FE" w:rsidRDefault="00601556" w:rsidP="00B014B5">
            <w:pPr>
              <w:rPr>
                <w:rFonts w:ascii="Arial" w:hAnsi="Arial" w:cs="Arial"/>
              </w:rPr>
            </w:pPr>
            <w:r w:rsidRPr="005057FE">
              <w:rPr>
                <w:rFonts w:ascii="Arial" w:hAnsi="Arial" w:cs="Arial"/>
              </w:rPr>
              <w:t>Scheme Member</w:t>
            </w:r>
          </w:p>
        </w:tc>
        <w:tc>
          <w:tcPr>
            <w:tcW w:w="1866" w:type="dxa"/>
          </w:tcPr>
          <w:p w14:paraId="3F5925C3" w14:textId="60499EB5" w:rsidR="00601556" w:rsidRPr="005057FE" w:rsidRDefault="00601556" w:rsidP="00601556">
            <w:pPr>
              <w:jc w:val="center"/>
              <w:rPr>
                <w:rFonts w:ascii="Arial" w:hAnsi="Arial" w:cs="Arial"/>
              </w:rPr>
            </w:pPr>
            <w:r w:rsidRPr="005057FE">
              <w:rPr>
                <w:rFonts w:ascii="Arial" w:hAnsi="Arial" w:cs="Arial"/>
              </w:rPr>
              <w:t>2</w:t>
            </w:r>
            <w:r w:rsidR="000227D7" w:rsidRPr="005057FE">
              <w:rPr>
                <w:rStyle w:val="FootnoteReference"/>
                <w:rFonts w:ascii="Arial" w:hAnsi="Arial" w:cs="Arial"/>
              </w:rPr>
              <w:footnoteReference w:id="1"/>
            </w:r>
          </w:p>
        </w:tc>
        <w:tc>
          <w:tcPr>
            <w:tcW w:w="1559" w:type="dxa"/>
          </w:tcPr>
          <w:p w14:paraId="5A0A7A89" w14:textId="2756CF5C" w:rsidR="00601556" w:rsidRPr="005057FE" w:rsidRDefault="00601556" w:rsidP="00601556">
            <w:pPr>
              <w:jc w:val="center"/>
              <w:rPr>
                <w:rFonts w:ascii="Arial" w:hAnsi="Arial" w:cs="Arial"/>
              </w:rPr>
            </w:pPr>
            <w:r w:rsidRPr="005057FE">
              <w:rPr>
                <w:rFonts w:ascii="Arial" w:hAnsi="Arial" w:cs="Arial"/>
              </w:rPr>
              <w:t>2</w:t>
            </w:r>
          </w:p>
        </w:tc>
      </w:tr>
      <w:tr w:rsidR="00601556" w:rsidRPr="005057FE" w14:paraId="6B5C9143" w14:textId="77777777" w:rsidTr="00601556">
        <w:tc>
          <w:tcPr>
            <w:tcW w:w="1838" w:type="dxa"/>
          </w:tcPr>
          <w:p w14:paraId="6290EFD4" w14:textId="7C466AF0" w:rsidR="00601556" w:rsidRPr="005057FE" w:rsidRDefault="00601556" w:rsidP="00B014B5">
            <w:pPr>
              <w:rPr>
                <w:rFonts w:ascii="Arial" w:hAnsi="Arial" w:cs="Arial"/>
              </w:rPr>
            </w:pPr>
            <w:r w:rsidRPr="005057FE">
              <w:rPr>
                <w:rFonts w:ascii="Arial" w:hAnsi="Arial" w:cs="Arial"/>
              </w:rPr>
              <w:t>Nikki Craig</w:t>
            </w:r>
          </w:p>
        </w:tc>
        <w:tc>
          <w:tcPr>
            <w:tcW w:w="2670" w:type="dxa"/>
          </w:tcPr>
          <w:p w14:paraId="6D4D8542" w14:textId="662BB499" w:rsidR="00601556" w:rsidRPr="005057FE" w:rsidRDefault="00601556" w:rsidP="00B014B5">
            <w:pPr>
              <w:rPr>
                <w:rFonts w:ascii="Arial" w:hAnsi="Arial" w:cs="Arial"/>
              </w:rPr>
            </w:pPr>
            <w:r w:rsidRPr="005057FE">
              <w:rPr>
                <w:rFonts w:ascii="Arial" w:hAnsi="Arial" w:cs="Arial"/>
              </w:rPr>
              <w:t>Employer</w:t>
            </w:r>
          </w:p>
        </w:tc>
        <w:tc>
          <w:tcPr>
            <w:tcW w:w="1866" w:type="dxa"/>
          </w:tcPr>
          <w:p w14:paraId="51FE2EBC" w14:textId="2D17CE74" w:rsidR="00601556" w:rsidRPr="005057FE" w:rsidRDefault="00601556" w:rsidP="00601556">
            <w:pPr>
              <w:jc w:val="center"/>
              <w:rPr>
                <w:rFonts w:ascii="Arial" w:hAnsi="Arial" w:cs="Arial"/>
              </w:rPr>
            </w:pPr>
            <w:r w:rsidRPr="005057FE">
              <w:rPr>
                <w:rFonts w:ascii="Arial" w:hAnsi="Arial" w:cs="Arial"/>
              </w:rPr>
              <w:t>4</w:t>
            </w:r>
          </w:p>
        </w:tc>
        <w:tc>
          <w:tcPr>
            <w:tcW w:w="1559" w:type="dxa"/>
          </w:tcPr>
          <w:p w14:paraId="1F53C295" w14:textId="78FE6134" w:rsidR="00601556" w:rsidRPr="005057FE" w:rsidRDefault="00601556" w:rsidP="00601556">
            <w:pPr>
              <w:jc w:val="center"/>
              <w:rPr>
                <w:rFonts w:ascii="Arial" w:hAnsi="Arial" w:cs="Arial"/>
              </w:rPr>
            </w:pPr>
            <w:r w:rsidRPr="005057FE">
              <w:rPr>
                <w:rFonts w:ascii="Arial" w:hAnsi="Arial" w:cs="Arial"/>
              </w:rPr>
              <w:t>4</w:t>
            </w:r>
          </w:p>
        </w:tc>
      </w:tr>
      <w:tr w:rsidR="00601556" w:rsidRPr="005057FE" w14:paraId="4250B53A" w14:textId="77777777" w:rsidTr="00601556">
        <w:tc>
          <w:tcPr>
            <w:tcW w:w="1838" w:type="dxa"/>
          </w:tcPr>
          <w:p w14:paraId="593DADF3" w14:textId="5BAFC0F7" w:rsidR="00601556" w:rsidRPr="005057FE" w:rsidRDefault="00601556" w:rsidP="00B014B5">
            <w:pPr>
              <w:rPr>
                <w:rFonts w:ascii="Arial" w:hAnsi="Arial" w:cs="Arial"/>
              </w:rPr>
            </w:pPr>
            <w:r w:rsidRPr="005057FE">
              <w:rPr>
                <w:rFonts w:ascii="Arial" w:hAnsi="Arial" w:cs="Arial"/>
              </w:rPr>
              <w:t>Julian Curzon</w:t>
            </w:r>
          </w:p>
        </w:tc>
        <w:tc>
          <w:tcPr>
            <w:tcW w:w="2670" w:type="dxa"/>
          </w:tcPr>
          <w:p w14:paraId="2E4731CC" w14:textId="2EB5471F" w:rsidR="00601556" w:rsidRPr="005057FE" w:rsidRDefault="00601556" w:rsidP="00B014B5">
            <w:pPr>
              <w:rPr>
                <w:rFonts w:ascii="Arial" w:hAnsi="Arial" w:cs="Arial"/>
              </w:rPr>
            </w:pPr>
            <w:r w:rsidRPr="005057FE">
              <w:rPr>
                <w:rFonts w:ascii="Arial" w:hAnsi="Arial" w:cs="Arial"/>
              </w:rPr>
              <w:t>Employer</w:t>
            </w:r>
          </w:p>
        </w:tc>
        <w:tc>
          <w:tcPr>
            <w:tcW w:w="1866" w:type="dxa"/>
          </w:tcPr>
          <w:p w14:paraId="7C4E35DF" w14:textId="05B3C894" w:rsidR="00601556" w:rsidRPr="005057FE" w:rsidRDefault="00601556" w:rsidP="00601556">
            <w:pPr>
              <w:jc w:val="center"/>
              <w:rPr>
                <w:rFonts w:ascii="Arial" w:hAnsi="Arial" w:cs="Arial"/>
              </w:rPr>
            </w:pPr>
            <w:r w:rsidRPr="005057FE">
              <w:rPr>
                <w:rFonts w:ascii="Arial" w:hAnsi="Arial" w:cs="Arial"/>
              </w:rPr>
              <w:t>4</w:t>
            </w:r>
          </w:p>
        </w:tc>
        <w:tc>
          <w:tcPr>
            <w:tcW w:w="1559" w:type="dxa"/>
          </w:tcPr>
          <w:p w14:paraId="5F75B940" w14:textId="162D6ABD" w:rsidR="00601556" w:rsidRPr="005057FE" w:rsidRDefault="00601556" w:rsidP="00601556">
            <w:pPr>
              <w:jc w:val="center"/>
              <w:rPr>
                <w:rFonts w:ascii="Arial" w:hAnsi="Arial" w:cs="Arial"/>
              </w:rPr>
            </w:pPr>
            <w:r w:rsidRPr="005057FE">
              <w:rPr>
                <w:rFonts w:ascii="Arial" w:hAnsi="Arial" w:cs="Arial"/>
              </w:rPr>
              <w:t>3</w:t>
            </w:r>
          </w:p>
        </w:tc>
      </w:tr>
      <w:tr w:rsidR="00601556" w:rsidRPr="005057FE" w14:paraId="57516766" w14:textId="77777777" w:rsidTr="00601556">
        <w:tc>
          <w:tcPr>
            <w:tcW w:w="1838" w:type="dxa"/>
          </w:tcPr>
          <w:p w14:paraId="2D4537E8" w14:textId="1DD46772" w:rsidR="00601556" w:rsidRPr="005057FE" w:rsidRDefault="00601556" w:rsidP="00B014B5">
            <w:pPr>
              <w:rPr>
                <w:rFonts w:ascii="Arial" w:hAnsi="Arial" w:cs="Arial"/>
              </w:rPr>
            </w:pPr>
            <w:r w:rsidRPr="005057FE">
              <w:rPr>
                <w:rFonts w:ascii="Arial" w:hAnsi="Arial" w:cs="Arial"/>
              </w:rPr>
              <w:t>Jeff Ford</w:t>
            </w:r>
          </w:p>
        </w:tc>
        <w:tc>
          <w:tcPr>
            <w:tcW w:w="2670" w:type="dxa"/>
          </w:tcPr>
          <w:p w14:paraId="537E7DD8" w14:textId="3FBD8E10" w:rsidR="00601556" w:rsidRPr="005057FE" w:rsidRDefault="00601556" w:rsidP="00B014B5">
            <w:pPr>
              <w:rPr>
                <w:rFonts w:ascii="Arial" w:hAnsi="Arial" w:cs="Arial"/>
              </w:rPr>
            </w:pPr>
            <w:r w:rsidRPr="005057FE">
              <w:rPr>
                <w:rFonts w:ascii="Arial" w:hAnsi="Arial" w:cs="Arial"/>
              </w:rPr>
              <w:t>Scheme Member</w:t>
            </w:r>
          </w:p>
        </w:tc>
        <w:tc>
          <w:tcPr>
            <w:tcW w:w="1866" w:type="dxa"/>
          </w:tcPr>
          <w:p w14:paraId="36AEBB02" w14:textId="1C043FB0" w:rsidR="00601556" w:rsidRPr="005057FE" w:rsidRDefault="00601556" w:rsidP="00601556">
            <w:pPr>
              <w:jc w:val="center"/>
              <w:rPr>
                <w:rFonts w:ascii="Arial" w:hAnsi="Arial" w:cs="Arial"/>
              </w:rPr>
            </w:pPr>
            <w:r w:rsidRPr="005057FE">
              <w:rPr>
                <w:rFonts w:ascii="Arial" w:hAnsi="Arial" w:cs="Arial"/>
              </w:rPr>
              <w:t>4</w:t>
            </w:r>
          </w:p>
        </w:tc>
        <w:tc>
          <w:tcPr>
            <w:tcW w:w="1559" w:type="dxa"/>
          </w:tcPr>
          <w:p w14:paraId="68491903" w14:textId="682410A5" w:rsidR="00601556" w:rsidRPr="005057FE" w:rsidRDefault="00601556" w:rsidP="00601556">
            <w:pPr>
              <w:jc w:val="center"/>
              <w:rPr>
                <w:rFonts w:ascii="Arial" w:hAnsi="Arial" w:cs="Arial"/>
              </w:rPr>
            </w:pPr>
            <w:r w:rsidRPr="005057FE">
              <w:rPr>
                <w:rFonts w:ascii="Arial" w:hAnsi="Arial" w:cs="Arial"/>
              </w:rPr>
              <w:t>4</w:t>
            </w:r>
          </w:p>
        </w:tc>
      </w:tr>
    </w:tbl>
    <w:p w14:paraId="3C11A521" w14:textId="68F7A66F" w:rsidR="00FA15FE" w:rsidRDefault="00FA15FE" w:rsidP="00674039">
      <w:pPr>
        <w:rPr>
          <w:rFonts w:ascii="Arial" w:hAnsi="Arial" w:cs="Arial"/>
        </w:rPr>
      </w:pPr>
    </w:p>
    <w:p w14:paraId="1A902CCE" w14:textId="388243A8" w:rsidR="00674039" w:rsidRPr="005057FE" w:rsidRDefault="00674039" w:rsidP="00674039">
      <w:pPr>
        <w:rPr>
          <w:rFonts w:ascii="Arial" w:hAnsi="Arial" w:cs="Arial"/>
        </w:rPr>
      </w:pPr>
      <w:r>
        <w:rPr>
          <w:rFonts w:ascii="Arial" w:hAnsi="Arial" w:cs="Arial"/>
        </w:rPr>
        <w:t>Approved by the Local Pension Board 17 March 2025</w:t>
      </w:r>
    </w:p>
    <w:sectPr w:rsidR="00674039" w:rsidRPr="005057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0DC44" w14:textId="77777777" w:rsidR="000227D7" w:rsidRDefault="000227D7" w:rsidP="000227D7">
      <w:pPr>
        <w:spacing w:after="0" w:line="240" w:lineRule="auto"/>
      </w:pPr>
      <w:r>
        <w:separator/>
      </w:r>
    </w:p>
  </w:endnote>
  <w:endnote w:type="continuationSeparator" w:id="0">
    <w:p w14:paraId="7EF568F8" w14:textId="77777777" w:rsidR="000227D7" w:rsidRDefault="000227D7" w:rsidP="00022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17C7" w14:textId="77777777" w:rsidR="000227D7" w:rsidRDefault="000227D7" w:rsidP="000227D7">
      <w:pPr>
        <w:spacing w:after="0" w:line="240" w:lineRule="auto"/>
      </w:pPr>
      <w:r>
        <w:separator/>
      </w:r>
    </w:p>
  </w:footnote>
  <w:footnote w:type="continuationSeparator" w:id="0">
    <w:p w14:paraId="21558786" w14:textId="77777777" w:rsidR="000227D7" w:rsidRDefault="000227D7" w:rsidP="000227D7">
      <w:pPr>
        <w:spacing w:after="0" w:line="240" w:lineRule="auto"/>
      </w:pPr>
      <w:r>
        <w:continuationSeparator/>
      </w:r>
    </w:p>
  </w:footnote>
  <w:footnote w:id="1">
    <w:p w14:paraId="035A631E" w14:textId="04F04C35" w:rsidR="000227D7" w:rsidRDefault="000227D7">
      <w:pPr>
        <w:pStyle w:val="FootnoteText"/>
      </w:pPr>
      <w:r>
        <w:rPr>
          <w:rStyle w:val="FootnoteReference"/>
        </w:rPr>
        <w:footnoteRef/>
      </w:r>
      <w:r>
        <w:t xml:space="preserve"> Neil Bullough</w:t>
      </w:r>
      <w:r w:rsidR="005057FE">
        <w:t xml:space="preserve"> was</w:t>
      </w:r>
      <w:r>
        <w:t xml:space="preserve"> appointed December 2024,</w:t>
      </w:r>
      <w:r w:rsidR="005057FE">
        <w:t xml:space="preserve">hence </w:t>
      </w:r>
      <w:r>
        <w:t>eligible to attend two meetings</w:t>
      </w:r>
      <w:r w:rsidR="005057FE">
        <w:t>:</w:t>
      </w:r>
      <w:r>
        <w:t xml:space="preserve"> December </w:t>
      </w:r>
      <w:r w:rsidR="005057FE">
        <w:t xml:space="preserve">2024 </w:t>
      </w:r>
      <w:r>
        <w:t>and March</w:t>
      </w:r>
      <w:r w:rsidR="005057FE">
        <w:t xml:space="preserve">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F4C25"/>
    <w:multiLevelType w:val="multilevel"/>
    <w:tmpl w:val="CFFC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C875CE"/>
    <w:multiLevelType w:val="multilevel"/>
    <w:tmpl w:val="7A98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E25DDB"/>
    <w:multiLevelType w:val="multilevel"/>
    <w:tmpl w:val="A552E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C23199"/>
    <w:multiLevelType w:val="hybridMultilevel"/>
    <w:tmpl w:val="D904F5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8640402">
    <w:abstractNumId w:val="2"/>
  </w:num>
  <w:num w:numId="2" w16cid:durableId="1702902478">
    <w:abstractNumId w:val="0"/>
  </w:num>
  <w:num w:numId="3" w16cid:durableId="1729068704">
    <w:abstractNumId w:val="1"/>
  </w:num>
  <w:num w:numId="4" w16cid:durableId="1359620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B5"/>
    <w:rsid w:val="00021BE4"/>
    <w:rsid w:val="000227D7"/>
    <w:rsid w:val="001B5BDC"/>
    <w:rsid w:val="0033020E"/>
    <w:rsid w:val="00397C29"/>
    <w:rsid w:val="00446E05"/>
    <w:rsid w:val="004B3E41"/>
    <w:rsid w:val="005057FE"/>
    <w:rsid w:val="00601556"/>
    <w:rsid w:val="00607902"/>
    <w:rsid w:val="00674039"/>
    <w:rsid w:val="006B0C1E"/>
    <w:rsid w:val="0070367C"/>
    <w:rsid w:val="00784C32"/>
    <w:rsid w:val="00792389"/>
    <w:rsid w:val="008B73B8"/>
    <w:rsid w:val="00A8026F"/>
    <w:rsid w:val="00AB5EBA"/>
    <w:rsid w:val="00B014B5"/>
    <w:rsid w:val="00B61711"/>
    <w:rsid w:val="00BE525B"/>
    <w:rsid w:val="00C06542"/>
    <w:rsid w:val="00CE373B"/>
    <w:rsid w:val="00D249D0"/>
    <w:rsid w:val="00D468FD"/>
    <w:rsid w:val="00E75A25"/>
    <w:rsid w:val="00F66939"/>
    <w:rsid w:val="00FA15FE"/>
    <w:rsid w:val="00FA2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0EA2"/>
  <w15:chartTrackingRefBased/>
  <w15:docId w15:val="{E84436A7-198D-431A-9EB2-B951309B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4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4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4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4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4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4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4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4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4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4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4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4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4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4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4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4B5"/>
    <w:rPr>
      <w:rFonts w:eastAsiaTheme="majorEastAsia" w:cstheme="majorBidi"/>
      <w:color w:val="272727" w:themeColor="text1" w:themeTint="D8"/>
    </w:rPr>
  </w:style>
  <w:style w:type="paragraph" w:styleId="Title">
    <w:name w:val="Title"/>
    <w:basedOn w:val="Normal"/>
    <w:next w:val="Normal"/>
    <w:link w:val="TitleChar"/>
    <w:uiPriority w:val="10"/>
    <w:qFormat/>
    <w:rsid w:val="00B01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4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4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4B5"/>
    <w:pPr>
      <w:spacing w:before="160"/>
      <w:jc w:val="center"/>
    </w:pPr>
    <w:rPr>
      <w:i/>
      <w:iCs/>
      <w:color w:val="404040" w:themeColor="text1" w:themeTint="BF"/>
    </w:rPr>
  </w:style>
  <w:style w:type="character" w:customStyle="1" w:styleId="QuoteChar">
    <w:name w:val="Quote Char"/>
    <w:basedOn w:val="DefaultParagraphFont"/>
    <w:link w:val="Quote"/>
    <w:uiPriority w:val="29"/>
    <w:rsid w:val="00B014B5"/>
    <w:rPr>
      <w:i/>
      <w:iCs/>
      <w:color w:val="404040" w:themeColor="text1" w:themeTint="BF"/>
    </w:rPr>
  </w:style>
  <w:style w:type="paragraph" w:styleId="ListParagraph">
    <w:name w:val="List Paragraph"/>
    <w:basedOn w:val="Normal"/>
    <w:uiPriority w:val="34"/>
    <w:qFormat/>
    <w:rsid w:val="00B014B5"/>
    <w:pPr>
      <w:ind w:left="720"/>
      <w:contextualSpacing/>
    </w:pPr>
  </w:style>
  <w:style w:type="character" w:styleId="IntenseEmphasis">
    <w:name w:val="Intense Emphasis"/>
    <w:basedOn w:val="DefaultParagraphFont"/>
    <w:uiPriority w:val="21"/>
    <w:qFormat/>
    <w:rsid w:val="00B014B5"/>
    <w:rPr>
      <w:i/>
      <w:iCs/>
      <w:color w:val="0F4761" w:themeColor="accent1" w:themeShade="BF"/>
    </w:rPr>
  </w:style>
  <w:style w:type="paragraph" w:styleId="IntenseQuote">
    <w:name w:val="Intense Quote"/>
    <w:basedOn w:val="Normal"/>
    <w:next w:val="Normal"/>
    <w:link w:val="IntenseQuoteChar"/>
    <w:uiPriority w:val="30"/>
    <w:qFormat/>
    <w:rsid w:val="00B01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4B5"/>
    <w:rPr>
      <w:i/>
      <w:iCs/>
      <w:color w:val="0F4761" w:themeColor="accent1" w:themeShade="BF"/>
    </w:rPr>
  </w:style>
  <w:style w:type="character" w:styleId="IntenseReference">
    <w:name w:val="Intense Reference"/>
    <w:basedOn w:val="DefaultParagraphFont"/>
    <w:uiPriority w:val="32"/>
    <w:qFormat/>
    <w:rsid w:val="00B014B5"/>
    <w:rPr>
      <w:b/>
      <w:bCs/>
      <w:smallCaps/>
      <w:color w:val="0F4761" w:themeColor="accent1" w:themeShade="BF"/>
      <w:spacing w:val="5"/>
    </w:rPr>
  </w:style>
  <w:style w:type="paragraph" w:styleId="Revision">
    <w:name w:val="Revision"/>
    <w:hidden/>
    <w:uiPriority w:val="99"/>
    <w:semiHidden/>
    <w:rsid w:val="004B3E41"/>
    <w:pPr>
      <w:spacing w:after="0" w:line="240" w:lineRule="auto"/>
    </w:pPr>
  </w:style>
  <w:style w:type="table" w:styleId="TableGrid">
    <w:name w:val="Table Grid"/>
    <w:basedOn w:val="TableNormal"/>
    <w:uiPriority w:val="39"/>
    <w:rsid w:val="00601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556"/>
    <w:rPr>
      <w:sz w:val="16"/>
      <w:szCs w:val="16"/>
    </w:rPr>
  </w:style>
  <w:style w:type="paragraph" w:styleId="CommentText">
    <w:name w:val="annotation text"/>
    <w:basedOn w:val="Normal"/>
    <w:link w:val="CommentTextChar"/>
    <w:uiPriority w:val="99"/>
    <w:unhideWhenUsed/>
    <w:rsid w:val="00601556"/>
    <w:pPr>
      <w:spacing w:line="240" w:lineRule="auto"/>
    </w:pPr>
    <w:rPr>
      <w:sz w:val="20"/>
      <w:szCs w:val="20"/>
    </w:rPr>
  </w:style>
  <w:style w:type="character" w:customStyle="1" w:styleId="CommentTextChar">
    <w:name w:val="Comment Text Char"/>
    <w:basedOn w:val="DefaultParagraphFont"/>
    <w:link w:val="CommentText"/>
    <w:uiPriority w:val="99"/>
    <w:rsid w:val="00601556"/>
    <w:rPr>
      <w:sz w:val="20"/>
      <w:szCs w:val="20"/>
    </w:rPr>
  </w:style>
  <w:style w:type="paragraph" w:styleId="CommentSubject">
    <w:name w:val="annotation subject"/>
    <w:basedOn w:val="CommentText"/>
    <w:next w:val="CommentText"/>
    <w:link w:val="CommentSubjectChar"/>
    <w:uiPriority w:val="99"/>
    <w:semiHidden/>
    <w:unhideWhenUsed/>
    <w:rsid w:val="00601556"/>
    <w:rPr>
      <w:b/>
      <w:bCs/>
    </w:rPr>
  </w:style>
  <w:style w:type="character" w:customStyle="1" w:styleId="CommentSubjectChar">
    <w:name w:val="Comment Subject Char"/>
    <w:basedOn w:val="CommentTextChar"/>
    <w:link w:val="CommentSubject"/>
    <w:uiPriority w:val="99"/>
    <w:semiHidden/>
    <w:rsid w:val="00601556"/>
    <w:rPr>
      <w:b/>
      <w:bCs/>
      <w:sz w:val="20"/>
      <w:szCs w:val="20"/>
    </w:rPr>
  </w:style>
  <w:style w:type="paragraph" w:styleId="FootnoteText">
    <w:name w:val="footnote text"/>
    <w:basedOn w:val="Normal"/>
    <w:link w:val="FootnoteTextChar"/>
    <w:uiPriority w:val="99"/>
    <w:semiHidden/>
    <w:unhideWhenUsed/>
    <w:rsid w:val="000227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7D7"/>
    <w:rPr>
      <w:sz w:val="20"/>
      <w:szCs w:val="20"/>
    </w:rPr>
  </w:style>
  <w:style w:type="character" w:styleId="FootnoteReference">
    <w:name w:val="footnote reference"/>
    <w:basedOn w:val="DefaultParagraphFont"/>
    <w:uiPriority w:val="99"/>
    <w:semiHidden/>
    <w:unhideWhenUsed/>
    <w:rsid w:val="00022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975207">
      <w:bodyDiv w:val="1"/>
      <w:marLeft w:val="0"/>
      <w:marRight w:val="0"/>
      <w:marTop w:val="0"/>
      <w:marBottom w:val="0"/>
      <w:divBdr>
        <w:top w:val="none" w:sz="0" w:space="0" w:color="auto"/>
        <w:left w:val="none" w:sz="0" w:space="0" w:color="auto"/>
        <w:bottom w:val="none" w:sz="0" w:space="0" w:color="auto"/>
        <w:right w:val="none" w:sz="0" w:space="0" w:color="auto"/>
      </w:divBdr>
      <w:divsChild>
        <w:div w:id="720321861">
          <w:marLeft w:val="0"/>
          <w:marRight w:val="0"/>
          <w:marTop w:val="0"/>
          <w:marBottom w:val="0"/>
          <w:divBdr>
            <w:top w:val="none" w:sz="0" w:space="0" w:color="auto"/>
            <w:left w:val="none" w:sz="0" w:space="0" w:color="auto"/>
            <w:bottom w:val="none" w:sz="0" w:space="0" w:color="auto"/>
            <w:right w:val="none" w:sz="0" w:space="0" w:color="auto"/>
          </w:divBdr>
        </w:div>
        <w:div w:id="199436566">
          <w:marLeft w:val="0"/>
          <w:marRight w:val="0"/>
          <w:marTop w:val="0"/>
          <w:marBottom w:val="0"/>
          <w:divBdr>
            <w:top w:val="none" w:sz="0" w:space="0" w:color="auto"/>
            <w:left w:val="none" w:sz="0" w:space="0" w:color="auto"/>
            <w:bottom w:val="none" w:sz="0" w:space="0" w:color="auto"/>
            <w:right w:val="none" w:sz="0" w:space="0" w:color="auto"/>
          </w:divBdr>
        </w:div>
        <w:div w:id="1303460797">
          <w:marLeft w:val="0"/>
          <w:marRight w:val="0"/>
          <w:marTop w:val="0"/>
          <w:marBottom w:val="0"/>
          <w:divBdr>
            <w:top w:val="none" w:sz="0" w:space="0" w:color="auto"/>
            <w:left w:val="none" w:sz="0" w:space="0" w:color="auto"/>
            <w:bottom w:val="none" w:sz="0" w:space="0" w:color="auto"/>
            <w:right w:val="none" w:sz="0" w:space="0" w:color="auto"/>
          </w:divBdr>
        </w:div>
        <w:div w:id="563683669">
          <w:marLeft w:val="0"/>
          <w:marRight w:val="0"/>
          <w:marTop w:val="0"/>
          <w:marBottom w:val="0"/>
          <w:divBdr>
            <w:top w:val="none" w:sz="0" w:space="0" w:color="auto"/>
            <w:left w:val="none" w:sz="0" w:space="0" w:color="auto"/>
            <w:bottom w:val="none" w:sz="0" w:space="0" w:color="auto"/>
            <w:right w:val="none" w:sz="0" w:space="0" w:color="auto"/>
          </w:divBdr>
        </w:div>
        <w:div w:id="1815218049">
          <w:marLeft w:val="0"/>
          <w:marRight w:val="0"/>
          <w:marTop w:val="0"/>
          <w:marBottom w:val="0"/>
          <w:divBdr>
            <w:top w:val="none" w:sz="0" w:space="0" w:color="auto"/>
            <w:left w:val="none" w:sz="0" w:space="0" w:color="auto"/>
            <w:bottom w:val="none" w:sz="0" w:space="0" w:color="auto"/>
            <w:right w:val="none" w:sz="0" w:space="0" w:color="auto"/>
          </w:divBdr>
        </w:div>
        <w:div w:id="1585451812">
          <w:marLeft w:val="0"/>
          <w:marRight w:val="0"/>
          <w:marTop w:val="0"/>
          <w:marBottom w:val="0"/>
          <w:divBdr>
            <w:top w:val="none" w:sz="0" w:space="0" w:color="auto"/>
            <w:left w:val="none" w:sz="0" w:space="0" w:color="auto"/>
            <w:bottom w:val="none" w:sz="0" w:space="0" w:color="auto"/>
            <w:right w:val="none" w:sz="0" w:space="0" w:color="auto"/>
          </w:divBdr>
        </w:div>
        <w:div w:id="1666854888">
          <w:marLeft w:val="0"/>
          <w:marRight w:val="0"/>
          <w:marTop w:val="0"/>
          <w:marBottom w:val="0"/>
          <w:divBdr>
            <w:top w:val="none" w:sz="0" w:space="0" w:color="auto"/>
            <w:left w:val="none" w:sz="0" w:space="0" w:color="auto"/>
            <w:bottom w:val="none" w:sz="0" w:space="0" w:color="auto"/>
            <w:right w:val="none" w:sz="0" w:space="0" w:color="auto"/>
          </w:divBdr>
        </w:div>
        <w:div w:id="1859194861">
          <w:marLeft w:val="0"/>
          <w:marRight w:val="0"/>
          <w:marTop w:val="0"/>
          <w:marBottom w:val="0"/>
          <w:divBdr>
            <w:top w:val="none" w:sz="0" w:space="0" w:color="auto"/>
            <w:left w:val="none" w:sz="0" w:space="0" w:color="auto"/>
            <w:bottom w:val="none" w:sz="0" w:space="0" w:color="auto"/>
            <w:right w:val="none" w:sz="0" w:space="0" w:color="auto"/>
          </w:divBdr>
        </w:div>
        <w:div w:id="2121338204">
          <w:marLeft w:val="0"/>
          <w:marRight w:val="0"/>
          <w:marTop w:val="0"/>
          <w:marBottom w:val="0"/>
          <w:divBdr>
            <w:top w:val="none" w:sz="0" w:space="0" w:color="auto"/>
            <w:left w:val="none" w:sz="0" w:space="0" w:color="auto"/>
            <w:bottom w:val="none" w:sz="0" w:space="0" w:color="auto"/>
            <w:right w:val="none" w:sz="0" w:space="0" w:color="auto"/>
          </w:divBdr>
        </w:div>
        <w:div w:id="174737241">
          <w:marLeft w:val="0"/>
          <w:marRight w:val="0"/>
          <w:marTop w:val="0"/>
          <w:marBottom w:val="0"/>
          <w:divBdr>
            <w:top w:val="none" w:sz="0" w:space="0" w:color="auto"/>
            <w:left w:val="none" w:sz="0" w:space="0" w:color="auto"/>
            <w:bottom w:val="none" w:sz="0" w:space="0" w:color="auto"/>
            <w:right w:val="none" w:sz="0" w:space="0" w:color="auto"/>
          </w:divBdr>
        </w:div>
        <w:div w:id="1305116289">
          <w:marLeft w:val="0"/>
          <w:marRight w:val="0"/>
          <w:marTop w:val="0"/>
          <w:marBottom w:val="0"/>
          <w:divBdr>
            <w:top w:val="none" w:sz="0" w:space="0" w:color="auto"/>
            <w:left w:val="none" w:sz="0" w:space="0" w:color="auto"/>
            <w:bottom w:val="none" w:sz="0" w:space="0" w:color="auto"/>
            <w:right w:val="none" w:sz="0" w:space="0" w:color="auto"/>
          </w:divBdr>
        </w:div>
        <w:div w:id="1007437624">
          <w:marLeft w:val="0"/>
          <w:marRight w:val="0"/>
          <w:marTop w:val="0"/>
          <w:marBottom w:val="0"/>
          <w:divBdr>
            <w:top w:val="none" w:sz="0" w:space="0" w:color="auto"/>
            <w:left w:val="none" w:sz="0" w:space="0" w:color="auto"/>
            <w:bottom w:val="none" w:sz="0" w:space="0" w:color="auto"/>
            <w:right w:val="none" w:sz="0" w:space="0" w:color="auto"/>
          </w:divBdr>
        </w:div>
        <w:div w:id="1189754552">
          <w:marLeft w:val="0"/>
          <w:marRight w:val="0"/>
          <w:marTop w:val="0"/>
          <w:marBottom w:val="0"/>
          <w:divBdr>
            <w:top w:val="none" w:sz="0" w:space="0" w:color="auto"/>
            <w:left w:val="none" w:sz="0" w:space="0" w:color="auto"/>
            <w:bottom w:val="none" w:sz="0" w:space="0" w:color="auto"/>
            <w:right w:val="none" w:sz="0" w:space="0" w:color="auto"/>
          </w:divBdr>
        </w:div>
        <w:div w:id="1472937125">
          <w:marLeft w:val="0"/>
          <w:marRight w:val="0"/>
          <w:marTop w:val="0"/>
          <w:marBottom w:val="0"/>
          <w:divBdr>
            <w:top w:val="none" w:sz="0" w:space="0" w:color="auto"/>
            <w:left w:val="none" w:sz="0" w:space="0" w:color="auto"/>
            <w:bottom w:val="none" w:sz="0" w:space="0" w:color="auto"/>
            <w:right w:val="none" w:sz="0" w:space="0" w:color="auto"/>
          </w:divBdr>
        </w:div>
        <w:div w:id="487987015">
          <w:marLeft w:val="0"/>
          <w:marRight w:val="0"/>
          <w:marTop w:val="0"/>
          <w:marBottom w:val="0"/>
          <w:divBdr>
            <w:top w:val="none" w:sz="0" w:space="0" w:color="auto"/>
            <w:left w:val="none" w:sz="0" w:space="0" w:color="auto"/>
            <w:bottom w:val="none" w:sz="0" w:space="0" w:color="auto"/>
            <w:right w:val="none" w:sz="0" w:space="0" w:color="auto"/>
          </w:divBdr>
        </w:div>
        <w:div w:id="91243384">
          <w:marLeft w:val="0"/>
          <w:marRight w:val="0"/>
          <w:marTop w:val="0"/>
          <w:marBottom w:val="0"/>
          <w:divBdr>
            <w:top w:val="none" w:sz="0" w:space="0" w:color="auto"/>
            <w:left w:val="none" w:sz="0" w:space="0" w:color="auto"/>
            <w:bottom w:val="none" w:sz="0" w:space="0" w:color="auto"/>
            <w:right w:val="none" w:sz="0" w:space="0" w:color="auto"/>
          </w:divBdr>
        </w:div>
      </w:divsChild>
    </w:div>
    <w:div w:id="2074159750">
      <w:bodyDiv w:val="1"/>
      <w:marLeft w:val="0"/>
      <w:marRight w:val="0"/>
      <w:marTop w:val="0"/>
      <w:marBottom w:val="0"/>
      <w:divBdr>
        <w:top w:val="none" w:sz="0" w:space="0" w:color="auto"/>
        <w:left w:val="none" w:sz="0" w:space="0" w:color="auto"/>
        <w:bottom w:val="none" w:sz="0" w:space="0" w:color="auto"/>
        <w:right w:val="none" w:sz="0" w:space="0" w:color="auto"/>
      </w:divBdr>
      <w:divsChild>
        <w:div w:id="1729571761">
          <w:marLeft w:val="0"/>
          <w:marRight w:val="0"/>
          <w:marTop w:val="0"/>
          <w:marBottom w:val="0"/>
          <w:divBdr>
            <w:top w:val="none" w:sz="0" w:space="0" w:color="auto"/>
            <w:left w:val="none" w:sz="0" w:space="0" w:color="auto"/>
            <w:bottom w:val="none" w:sz="0" w:space="0" w:color="auto"/>
            <w:right w:val="none" w:sz="0" w:space="0" w:color="auto"/>
          </w:divBdr>
        </w:div>
        <w:div w:id="1140414927">
          <w:marLeft w:val="0"/>
          <w:marRight w:val="0"/>
          <w:marTop w:val="0"/>
          <w:marBottom w:val="0"/>
          <w:divBdr>
            <w:top w:val="none" w:sz="0" w:space="0" w:color="auto"/>
            <w:left w:val="none" w:sz="0" w:space="0" w:color="auto"/>
            <w:bottom w:val="none" w:sz="0" w:space="0" w:color="auto"/>
            <w:right w:val="none" w:sz="0" w:space="0" w:color="auto"/>
          </w:divBdr>
        </w:div>
        <w:div w:id="1929657048">
          <w:marLeft w:val="0"/>
          <w:marRight w:val="0"/>
          <w:marTop w:val="0"/>
          <w:marBottom w:val="0"/>
          <w:divBdr>
            <w:top w:val="none" w:sz="0" w:space="0" w:color="auto"/>
            <w:left w:val="none" w:sz="0" w:space="0" w:color="auto"/>
            <w:bottom w:val="none" w:sz="0" w:space="0" w:color="auto"/>
            <w:right w:val="none" w:sz="0" w:space="0" w:color="auto"/>
          </w:divBdr>
        </w:div>
        <w:div w:id="824933559">
          <w:marLeft w:val="0"/>
          <w:marRight w:val="0"/>
          <w:marTop w:val="0"/>
          <w:marBottom w:val="0"/>
          <w:divBdr>
            <w:top w:val="none" w:sz="0" w:space="0" w:color="auto"/>
            <w:left w:val="none" w:sz="0" w:space="0" w:color="auto"/>
            <w:bottom w:val="none" w:sz="0" w:space="0" w:color="auto"/>
            <w:right w:val="none" w:sz="0" w:space="0" w:color="auto"/>
          </w:divBdr>
        </w:div>
        <w:div w:id="337853994">
          <w:marLeft w:val="0"/>
          <w:marRight w:val="0"/>
          <w:marTop w:val="0"/>
          <w:marBottom w:val="0"/>
          <w:divBdr>
            <w:top w:val="none" w:sz="0" w:space="0" w:color="auto"/>
            <w:left w:val="none" w:sz="0" w:space="0" w:color="auto"/>
            <w:bottom w:val="none" w:sz="0" w:space="0" w:color="auto"/>
            <w:right w:val="none" w:sz="0" w:space="0" w:color="auto"/>
          </w:divBdr>
        </w:div>
        <w:div w:id="1859854264">
          <w:marLeft w:val="0"/>
          <w:marRight w:val="0"/>
          <w:marTop w:val="0"/>
          <w:marBottom w:val="0"/>
          <w:divBdr>
            <w:top w:val="none" w:sz="0" w:space="0" w:color="auto"/>
            <w:left w:val="none" w:sz="0" w:space="0" w:color="auto"/>
            <w:bottom w:val="none" w:sz="0" w:space="0" w:color="auto"/>
            <w:right w:val="none" w:sz="0" w:space="0" w:color="auto"/>
          </w:divBdr>
        </w:div>
        <w:div w:id="1662076197">
          <w:marLeft w:val="0"/>
          <w:marRight w:val="0"/>
          <w:marTop w:val="0"/>
          <w:marBottom w:val="0"/>
          <w:divBdr>
            <w:top w:val="none" w:sz="0" w:space="0" w:color="auto"/>
            <w:left w:val="none" w:sz="0" w:space="0" w:color="auto"/>
            <w:bottom w:val="none" w:sz="0" w:space="0" w:color="auto"/>
            <w:right w:val="none" w:sz="0" w:space="0" w:color="auto"/>
          </w:divBdr>
        </w:div>
        <w:div w:id="696346902">
          <w:marLeft w:val="0"/>
          <w:marRight w:val="0"/>
          <w:marTop w:val="0"/>
          <w:marBottom w:val="0"/>
          <w:divBdr>
            <w:top w:val="none" w:sz="0" w:space="0" w:color="auto"/>
            <w:left w:val="none" w:sz="0" w:space="0" w:color="auto"/>
            <w:bottom w:val="none" w:sz="0" w:space="0" w:color="auto"/>
            <w:right w:val="none" w:sz="0" w:space="0" w:color="auto"/>
          </w:divBdr>
        </w:div>
        <w:div w:id="198516882">
          <w:marLeft w:val="0"/>
          <w:marRight w:val="0"/>
          <w:marTop w:val="0"/>
          <w:marBottom w:val="0"/>
          <w:divBdr>
            <w:top w:val="none" w:sz="0" w:space="0" w:color="auto"/>
            <w:left w:val="none" w:sz="0" w:space="0" w:color="auto"/>
            <w:bottom w:val="none" w:sz="0" w:space="0" w:color="auto"/>
            <w:right w:val="none" w:sz="0" w:space="0" w:color="auto"/>
          </w:divBdr>
        </w:div>
        <w:div w:id="371882236">
          <w:marLeft w:val="0"/>
          <w:marRight w:val="0"/>
          <w:marTop w:val="0"/>
          <w:marBottom w:val="0"/>
          <w:divBdr>
            <w:top w:val="none" w:sz="0" w:space="0" w:color="auto"/>
            <w:left w:val="none" w:sz="0" w:space="0" w:color="auto"/>
            <w:bottom w:val="none" w:sz="0" w:space="0" w:color="auto"/>
            <w:right w:val="none" w:sz="0" w:space="0" w:color="auto"/>
          </w:divBdr>
        </w:div>
        <w:div w:id="2000961754">
          <w:marLeft w:val="0"/>
          <w:marRight w:val="0"/>
          <w:marTop w:val="0"/>
          <w:marBottom w:val="0"/>
          <w:divBdr>
            <w:top w:val="none" w:sz="0" w:space="0" w:color="auto"/>
            <w:left w:val="none" w:sz="0" w:space="0" w:color="auto"/>
            <w:bottom w:val="none" w:sz="0" w:space="0" w:color="auto"/>
            <w:right w:val="none" w:sz="0" w:space="0" w:color="auto"/>
          </w:divBdr>
        </w:div>
        <w:div w:id="1997419746">
          <w:marLeft w:val="0"/>
          <w:marRight w:val="0"/>
          <w:marTop w:val="0"/>
          <w:marBottom w:val="0"/>
          <w:divBdr>
            <w:top w:val="none" w:sz="0" w:space="0" w:color="auto"/>
            <w:left w:val="none" w:sz="0" w:space="0" w:color="auto"/>
            <w:bottom w:val="none" w:sz="0" w:space="0" w:color="auto"/>
            <w:right w:val="none" w:sz="0" w:space="0" w:color="auto"/>
          </w:divBdr>
        </w:div>
        <w:div w:id="1318726453">
          <w:marLeft w:val="0"/>
          <w:marRight w:val="0"/>
          <w:marTop w:val="0"/>
          <w:marBottom w:val="0"/>
          <w:divBdr>
            <w:top w:val="none" w:sz="0" w:space="0" w:color="auto"/>
            <w:left w:val="none" w:sz="0" w:space="0" w:color="auto"/>
            <w:bottom w:val="none" w:sz="0" w:space="0" w:color="auto"/>
            <w:right w:val="none" w:sz="0" w:space="0" w:color="auto"/>
          </w:divBdr>
        </w:div>
        <w:div w:id="550383102">
          <w:marLeft w:val="0"/>
          <w:marRight w:val="0"/>
          <w:marTop w:val="0"/>
          <w:marBottom w:val="0"/>
          <w:divBdr>
            <w:top w:val="none" w:sz="0" w:space="0" w:color="auto"/>
            <w:left w:val="none" w:sz="0" w:space="0" w:color="auto"/>
            <w:bottom w:val="none" w:sz="0" w:space="0" w:color="auto"/>
            <w:right w:val="none" w:sz="0" w:space="0" w:color="auto"/>
          </w:divBdr>
        </w:div>
        <w:div w:id="1855537774">
          <w:marLeft w:val="0"/>
          <w:marRight w:val="0"/>
          <w:marTop w:val="0"/>
          <w:marBottom w:val="0"/>
          <w:divBdr>
            <w:top w:val="none" w:sz="0" w:space="0" w:color="auto"/>
            <w:left w:val="none" w:sz="0" w:space="0" w:color="auto"/>
            <w:bottom w:val="none" w:sz="0" w:space="0" w:color="auto"/>
            <w:right w:val="none" w:sz="0" w:space="0" w:color="auto"/>
          </w:divBdr>
        </w:div>
        <w:div w:id="2142307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71F97-8148-4C0B-9525-D833EE51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653</Words>
  <Characters>3726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Thistlewood</dc:creator>
  <cp:keywords/>
  <dc:description/>
  <cp:lastModifiedBy>Joanne Brazier</cp:lastModifiedBy>
  <cp:revision>2</cp:revision>
  <cp:lastPrinted>2025-03-06T11:47:00Z</cp:lastPrinted>
  <dcterms:created xsi:type="dcterms:W3CDTF">2025-08-29T16:52:00Z</dcterms:created>
  <dcterms:modified xsi:type="dcterms:W3CDTF">2025-08-29T16:52:00Z</dcterms:modified>
</cp:coreProperties>
</file>