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44B7" w14:textId="0A23D5EC" w:rsidR="0091672C" w:rsidRDefault="002B1A70" w:rsidP="0091672C">
      <w:pPr>
        <w:pStyle w:val="Heading1"/>
        <w:ind w:left="-142"/>
      </w:pPr>
      <w:r w:rsidRPr="0091672C">
        <w:rPr>
          <w:bCs/>
          <w:color w:val="auto"/>
          <w:sz w:val="36"/>
          <w:szCs w:val="36"/>
        </w:rPr>
        <w:t xml:space="preserve">Royal County of Berkshire Pension Fund </w:t>
      </w:r>
      <w:r w:rsidRPr="0091672C">
        <w:rPr>
          <w:bCs/>
          <w:color w:val="auto"/>
        </w:rPr>
        <w:br/>
      </w:r>
      <w:r w:rsidRPr="00890C21">
        <w:rPr>
          <w:rFonts w:eastAsia="Arial"/>
          <w:color w:val="000000"/>
          <w:sz w:val="32"/>
          <w:szCs w:val="36"/>
          <w:lang w:val="en-US"/>
        </w:rPr>
        <w:t>Pensions Taxation - Annual Allowance</w:t>
      </w:r>
      <w:r w:rsidRPr="00890C21">
        <w:rPr>
          <w:bCs/>
          <w:sz w:val="36"/>
          <w:szCs w:val="36"/>
        </w:rPr>
        <w:br/>
      </w:r>
      <w:r w:rsidR="0091672C" w:rsidRPr="008749A6">
        <w:rPr>
          <w:noProof/>
          <w:sz w:val="28"/>
          <w:szCs w:val="24"/>
          <w14:textOutline w14:w="15875" w14:cap="rnd" w14:cmpd="sng" w14:algn="ctr">
            <w14:solidFill>
              <w14:schemeClr w14:val="accent2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8BFD4" wp14:editId="1D83E4C9">
                <wp:simplePos x="0" y="0"/>
                <wp:positionH relativeFrom="column">
                  <wp:posOffset>-1056640</wp:posOffset>
                </wp:positionH>
                <wp:positionV relativeFrom="paragraph">
                  <wp:posOffset>734695</wp:posOffset>
                </wp:positionV>
                <wp:extent cx="868814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8141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6D42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2pt,57.85pt" to="600.9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zpwEAAKUDAAAOAAAAZHJzL2Uyb0RvYy54bWysU8tu2zAQvAfoPxC8x5SMJhUEyz4kSC9B&#10;E6TJBzDU0iLAF0jGkv++S9qWi6RA0SKXFR87szvD1WozGU12EKJytqP1oqIErHC9stuOvjzfXTaU&#10;xMRtz7Wz0NE9RLpZf7lYjb6FpRuc7iEQJLGxHX1Hh5R8y1gUAxgeF86DxUvpguEJt2HL+sBHZDea&#10;Lavqmo0u9D44ATHi6e3hkq4Lv5Qg0oOUERLRHcXeUomhxNcc2XrF223gflDi2Ab/jy4MVxaLzlS3&#10;PHHyFtQHKqNEcNHJtBDOMCelElA0oJq6eqfm58A9FC1oTvSzTfHzaMWP3Y19DGjD6GMb/WPIKiYZ&#10;TP5if2QqZu1ns2BKROBhc9009deaEnG6Y2egDzF9B2dIXnRUK5t18Jbv7mPCYph6SsnH2pIRp+eq&#10;+XaVX4SdeymrtNdwSHsCSVSP1etCV8YEbnQgO44PzIUAm5aFIpNidoZJpfUMrP4OPOZnKJQR+hfw&#10;jCiVnU0z2Cjrwp+qp6k+tiwP+ScHDrqzBa+u35dXKtbgLBQLj3Obh+33fYGf/671LwAAAP//AwBQ&#10;SwMEFAAGAAgAAAAhAH8cgAvfAAAADQEAAA8AAABkcnMvZG93bnJldi54bWxMj0FLw0AQhe+C/2EZ&#10;wYu0u6k21ZhNKYK3UmqUnrfZMQlmZ2N228Z/7xQKepz3Pt68ly9H14kjDqH1pCGZKhBIlbct1Ro+&#10;3l8njyBCNGRN5wk1/GCAZXF9lZvM+hO94bGMteAQCpnR0MTYZ1KGqkFnwtT3SOx9+sGZyOdQSzuY&#10;E4e7Ts6USqUzLfGHxvT40mD1VR6cBqrK9WqjNtjf2bjrv5+26/n9Vuvbm3H1DCLiGP9gONfn6lBw&#10;p70/kA2i0zBJ0vSBWXaS+QLEGZmphOfsL5Iscvl/RfELAAD//wMAUEsBAi0AFAAGAAgAAAAhALaD&#10;OJL+AAAA4QEAABMAAAAAAAAAAAAAAAAAAAAAAFtDb250ZW50X1R5cGVzXS54bWxQSwECLQAUAAYA&#10;CAAAACEAOP0h/9YAAACUAQAACwAAAAAAAAAAAAAAAAAvAQAAX3JlbHMvLnJlbHNQSwECLQAUAAYA&#10;CAAAACEAvj4KM6cBAAClAwAADgAAAAAAAAAAAAAAAAAuAgAAZHJzL2Uyb0RvYy54bWxQSwECLQAU&#10;AAYACAAAACEAfxyAC98AAAANAQAADwAAAAAAAAAAAAAAAAABBAAAZHJzL2Rvd25yZXYueG1sUEsF&#10;BgAAAAAEAAQA8wAAAA0FAAAAAA==&#10;" strokecolor="#ed7d31 [3205]" strokeweight="1.25pt">
                <v:stroke joinstyle="miter"/>
              </v:line>
            </w:pict>
          </mc:Fallback>
        </mc:AlternateContent>
      </w:r>
      <w:r w:rsidR="0091672C">
        <w:rPr>
          <w:bCs/>
          <w:sz w:val="36"/>
          <w:szCs w:val="36"/>
        </w:rPr>
        <w:t xml:space="preserve"> </w:t>
      </w:r>
    </w:p>
    <w:p w14:paraId="03403493" w14:textId="24758916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</w:t>
      </w:r>
      <w:r w:rsidR="002D613D">
        <w:t>limits t</w:t>
      </w:r>
      <w:r w:rsidRPr="000358B2">
        <w:t>he amount of pension savings you can make without having to pay extra tax.</w:t>
      </w:r>
      <w:r w:rsidR="00785327">
        <w:t xml:space="preserve"> Th</w:t>
      </w:r>
      <w:r w:rsidR="004A6DF3">
        <w:t>i</w:t>
      </w:r>
      <w:r w:rsidR="005C3DA4" w:rsidRPr="000358B2">
        <w:t xml:space="preserve">s </w:t>
      </w:r>
      <w:r w:rsidR="00ED5364">
        <w:t xml:space="preserve">limit </w:t>
      </w:r>
      <w:r w:rsidR="005C3DA4" w:rsidRPr="000358B2">
        <w:t xml:space="preserve">is in addition to any income tax you pay on your pension once it is </w:t>
      </w:r>
      <w:r w:rsidR="0051717F">
        <w:t>being paid to you</w:t>
      </w:r>
      <w:r w:rsidR="005C3DA4" w:rsidRPr="000358B2">
        <w:t xml:space="preserve">.  </w:t>
      </w:r>
    </w:p>
    <w:p w14:paraId="7773A4DA" w14:textId="3BC13CFE" w:rsidR="00B54823" w:rsidRPr="0091672C" w:rsidRDefault="00B02DE4" w:rsidP="00BE27E6">
      <w:pPr>
        <w:pStyle w:val="Heading2"/>
        <w:rPr>
          <w:color w:val="auto"/>
        </w:rPr>
      </w:pPr>
      <w:r w:rsidRPr="0091672C">
        <w:rPr>
          <w:color w:val="auto"/>
        </w:rPr>
        <w:t xml:space="preserve">What is the </w:t>
      </w:r>
      <w:r w:rsidR="00D24A67" w:rsidRPr="0091672C">
        <w:rPr>
          <w:color w:val="auto"/>
        </w:rPr>
        <w:t>a</w:t>
      </w:r>
      <w:r w:rsidRPr="0091672C">
        <w:rPr>
          <w:color w:val="auto"/>
        </w:rPr>
        <w:t xml:space="preserve">nnual </w:t>
      </w:r>
      <w:r w:rsidR="00D24A67" w:rsidRPr="0091672C">
        <w:rPr>
          <w:color w:val="auto"/>
        </w:rPr>
        <w:t>a</w:t>
      </w:r>
      <w:r w:rsidRPr="0091672C">
        <w:rPr>
          <w:color w:val="auto"/>
        </w:rPr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2379EB4D" w14:textId="77777777" w:rsidR="00A6591C" w:rsidRDefault="00A6591C" w:rsidP="00A6591C">
      <w:r>
        <w:t xml:space="preserve">The standard annual allowance has increased to £60,000 from 6 April 2023. For the tax years 2016/17 to 2022/23 it was £40,000. </w:t>
      </w:r>
    </w:p>
    <w:p w14:paraId="1744A734" w14:textId="77777777" w:rsidR="00A6591C" w:rsidRDefault="00A6591C" w:rsidP="00A6591C">
      <w:r>
        <w:t xml:space="preserve">The annual allowance for some members will be lower than the standard annual allowance. You can find more information about when a different annual allowance will apply later in this factsheet. </w:t>
      </w:r>
    </w:p>
    <w:p w14:paraId="37DEB85C" w14:textId="5119DA02" w:rsidR="00B54823" w:rsidRPr="0091672C" w:rsidRDefault="00DB319C" w:rsidP="0053758F">
      <w:pPr>
        <w:pStyle w:val="Heading2"/>
        <w:rPr>
          <w:color w:val="auto"/>
        </w:rPr>
      </w:pPr>
      <w:r w:rsidRPr="0091672C">
        <w:rPr>
          <w:color w:val="auto"/>
        </w:rPr>
        <w:t>Will I</w:t>
      </w:r>
      <w:r w:rsidR="00B0755C" w:rsidRPr="0091672C">
        <w:rPr>
          <w:color w:val="auto"/>
        </w:rPr>
        <w:t xml:space="preserve"> be affected by the </w:t>
      </w:r>
      <w:r w:rsidR="00086A55" w:rsidRPr="0091672C">
        <w:rPr>
          <w:color w:val="auto"/>
        </w:rPr>
        <w:t>a</w:t>
      </w:r>
      <w:r w:rsidR="00B0755C" w:rsidRPr="0091672C">
        <w:rPr>
          <w:color w:val="auto"/>
        </w:rPr>
        <w:t xml:space="preserve">nnual </w:t>
      </w:r>
      <w:r w:rsidR="00086A55" w:rsidRPr="0091672C">
        <w:rPr>
          <w:color w:val="auto"/>
        </w:rPr>
        <w:t>a</w:t>
      </w:r>
      <w:r w:rsidR="00B0755C" w:rsidRPr="0091672C">
        <w:rPr>
          <w:color w:val="auto"/>
        </w:rPr>
        <w:t>llowance?</w:t>
      </w:r>
    </w:p>
    <w:p w14:paraId="76537078" w14:textId="194F9DE9" w:rsidR="00B0755C" w:rsidRDefault="00B0755C" w:rsidP="001320A9">
      <w:r w:rsidRPr="00B0755C">
        <w:t>Most peopl</w:t>
      </w:r>
      <w:r>
        <w:t xml:space="preserve">e will not be affected by the </w:t>
      </w:r>
      <w:r w:rsidR="00C53FEB">
        <w:t>annual allowance</w:t>
      </w:r>
      <w:r>
        <w:t xml:space="preserve">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 xml:space="preserve">year by more than </w:t>
      </w:r>
      <w:r w:rsidR="00C53FEB">
        <w:t xml:space="preserve">the annual allowance limit. When </w:t>
      </w:r>
      <w:r w:rsidR="00240D65">
        <w:t>the increase</w:t>
      </w:r>
      <w:r w:rsidR="00C53FEB">
        <w:t xml:space="preserve"> does</w:t>
      </w:r>
      <w:r w:rsidR="002F22B6">
        <w:t xml:space="preserve"> exceed that </w:t>
      </w:r>
      <w:r w:rsidR="00DA59A0">
        <w:t>limit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497C6EC9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r>
        <w:t>.</w:t>
      </w:r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 xml:space="preserve">any scheme in England, Wales or Scotland covering local government </w:t>
      </w:r>
      <w:r w:rsidR="00834ED5">
        <w:lastRenderedPageBreak/>
        <w:t>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18450474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="0091672C">
        <w:t xml:space="preserve">the Berkshire Pension Fund </w:t>
      </w:r>
      <w:r>
        <w:t xml:space="preserve">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Pr="0091672C" w:rsidRDefault="00887472" w:rsidP="0053758F">
      <w:pPr>
        <w:pStyle w:val="Heading2"/>
        <w:rPr>
          <w:color w:val="auto"/>
        </w:rPr>
      </w:pPr>
      <w:r w:rsidRPr="0091672C">
        <w:rPr>
          <w:color w:val="auto"/>
        </w:rPr>
        <w:t xml:space="preserve">The 50/50 section of the </w:t>
      </w:r>
      <w:r w:rsidR="002E2845" w:rsidRPr="0091672C">
        <w:rPr>
          <w:color w:val="auto"/>
        </w:rPr>
        <w:t>L</w:t>
      </w:r>
      <w:r w:rsidR="002E2845" w:rsidRPr="0091672C">
        <w:rPr>
          <w:color w:val="auto"/>
          <w:spacing w:val="-80"/>
        </w:rPr>
        <w:t> </w:t>
      </w:r>
      <w:r w:rsidR="002E2845" w:rsidRPr="0091672C">
        <w:rPr>
          <w:color w:val="auto"/>
        </w:rPr>
        <w:t>G</w:t>
      </w:r>
      <w:r w:rsidR="002E2845" w:rsidRPr="0091672C">
        <w:rPr>
          <w:color w:val="auto"/>
          <w:spacing w:val="-80"/>
        </w:rPr>
        <w:t> </w:t>
      </w:r>
      <w:r w:rsidR="002E2845" w:rsidRPr="0091672C">
        <w:rPr>
          <w:color w:val="auto"/>
        </w:rPr>
        <w:t>P</w:t>
      </w:r>
      <w:r w:rsidR="002E2845" w:rsidRPr="0091672C">
        <w:rPr>
          <w:color w:val="auto"/>
          <w:spacing w:val="-80"/>
        </w:rPr>
        <w:t> </w:t>
      </w:r>
      <w:r w:rsidR="002E2845" w:rsidRPr="0091672C">
        <w:rPr>
          <w:color w:val="auto"/>
        </w:rPr>
        <w:t>S</w:t>
      </w:r>
    </w:p>
    <w:p w14:paraId="671CE209" w14:textId="49EEA3A5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proofErr w:type="gramStart"/>
      <w:r w:rsidR="002E2845" w:rsidRPr="00ED3A56">
        <w:t>S</w:t>
      </w:r>
      <w:proofErr w:type="gramEnd"/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1" w:history="1">
        <w:hyperlink r:id="rId12" w:history="1">
          <w:r w:rsidR="00DB319C" w:rsidRPr="007B38BF">
            <w:rPr>
              <w:rStyle w:val="Hyperlink"/>
            </w:rPr>
            <w:t>Paying less – the 50/50 section</w:t>
          </w:r>
        </w:hyperlink>
      </w:hyperlink>
      <w:r w:rsidR="00DB319C">
        <w:t xml:space="preserve"> on </w:t>
      </w:r>
      <w:r w:rsidR="00890C21">
        <w:t xml:space="preserve">the Berkshire Pension Fund </w:t>
      </w:r>
      <w:r w:rsidR="00DB319C" w:rsidRPr="00DB319C">
        <w:rPr>
          <w:rFonts w:eastAsia="Times New Roman" w:cs="Arial"/>
          <w:szCs w:val="24"/>
          <w:lang w:eastAsia="en-GB"/>
        </w:rPr>
        <w:t>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583B97DE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3" w:history="1">
        <w:proofErr w:type="spellStart"/>
        <w:r w:rsidR="00AF2D6D">
          <w:rPr>
            <w:rStyle w:val="Hyperlink"/>
            <w:rFonts w:eastAsia="Times New Roman" w:cs="Arial"/>
            <w:szCs w:val="24"/>
            <w:lang w:eastAsia="en-GB"/>
          </w:rPr>
          <w:t>MoneyHelper</w:t>
        </w:r>
        <w:proofErr w:type="spellEnd"/>
        <w:r w:rsidR="00AF2D6D">
          <w:rPr>
            <w:rStyle w:val="Hyperlink"/>
            <w:rFonts w:eastAsia="Times New Roman" w:cs="Arial"/>
            <w:szCs w:val="24"/>
            <w:lang w:eastAsia="en-GB"/>
          </w:rPr>
          <w:t xml:space="preserve">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91672C" w:rsidRDefault="000B7262" w:rsidP="0053758F">
      <w:pPr>
        <w:pStyle w:val="Heading2"/>
        <w:rPr>
          <w:color w:val="auto"/>
        </w:rPr>
      </w:pPr>
      <w:r w:rsidRPr="0091672C">
        <w:rPr>
          <w:color w:val="auto"/>
        </w:rPr>
        <w:t xml:space="preserve">How is the </w:t>
      </w:r>
      <w:r w:rsidR="00F1790B" w:rsidRPr="0091672C">
        <w:rPr>
          <w:color w:val="auto"/>
        </w:rPr>
        <w:t>a</w:t>
      </w:r>
      <w:r w:rsidRPr="0091672C">
        <w:rPr>
          <w:color w:val="auto"/>
        </w:rPr>
        <w:t xml:space="preserve">nnual </w:t>
      </w:r>
      <w:r w:rsidR="00F1790B" w:rsidRPr="0091672C">
        <w:rPr>
          <w:color w:val="auto"/>
        </w:rPr>
        <w:t>a</w:t>
      </w:r>
      <w:r w:rsidRPr="0091672C">
        <w:rPr>
          <w:color w:val="auto"/>
        </w:rPr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00BBC5AB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adding any lump </w:t>
      </w:r>
      <w:proofErr w:type="gramStart"/>
      <w:r w:rsidRPr="005A5138">
        <w:t>sum</w:t>
      </w:r>
      <w:proofErr w:type="gramEnd"/>
      <w:r w:rsidRPr="005A5138">
        <w:t xml:space="preserve">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lastRenderedPageBreak/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6CFCAE94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</w:t>
      </w:r>
      <w:r>
        <w:rPr>
          <w:rFonts w:cs="Arial"/>
          <w:szCs w:val="24"/>
        </w:rPr>
        <w:t>1</w:t>
      </w:r>
      <w:r w:rsidR="00CB2332">
        <w:rPr>
          <w:rFonts w:cs="Arial"/>
          <w:szCs w:val="24"/>
        </w:rPr>
        <w:t>/22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91672C" w:rsidRDefault="00CB73AB" w:rsidP="0053758F">
      <w:pPr>
        <w:pStyle w:val="Heading2"/>
        <w:rPr>
          <w:color w:val="auto"/>
        </w:rPr>
      </w:pPr>
      <w:r w:rsidRPr="0091672C">
        <w:rPr>
          <w:color w:val="auto"/>
        </w:rPr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year increase</w:t>
      </w:r>
      <w:r>
        <w:rPr>
          <w:rFonts w:eastAsia="Arial Unicode MS"/>
          <w:lang w:val="en"/>
        </w:rPr>
        <w:t>s</w:t>
      </w:r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tax charge</w:t>
      </w:r>
      <w:r w:rsidR="00CB73AB" w:rsidRPr="00B54823">
        <w:t>.</w:t>
      </w:r>
    </w:p>
    <w:p w14:paraId="1261E46D" w14:textId="042EE683" w:rsidR="00C5290A" w:rsidRDefault="00CB73AB" w:rsidP="001320A9">
      <w:r w:rsidRPr="00B54823"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</w:t>
      </w:r>
      <w:proofErr w:type="spellStart"/>
      <w:proofErr w:type="gramStart"/>
      <w:r w:rsidRPr="00CB73AB">
        <w:t>ie</w:t>
      </w:r>
      <w:proofErr w:type="spellEnd"/>
      <w:proofErr w:type="gramEnd"/>
      <w:r w:rsidRPr="00CB73AB">
        <w:t xml:space="preserve">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for those three years would more than offset the £10,000 excess pension saving in the </w:t>
      </w:r>
      <w:r w:rsidR="000649B4">
        <w:t>2021/22</w:t>
      </w:r>
      <w:r w:rsidRPr="00CB73AB">
        <w:t xml:space="preserve">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05C09303" w14:textId="77777777" w:rsidR="00D41EFF" w:rsidRPr="0091672C" w:rsidRDefault="00D41EFF" w:rsidP="00D41EFF">
      <w:pPr>
        <w:pStyle w:val="Heading2"/>
        <w:rPr>
          <w:color w:val="auto"/>
        </w:rPr>
      </w:pPr>
      <w:r w:rsidRPr="0091672C">
        <w:rPr>
          <w:color w:val="auto"/>
        </w:rPr>
        <w:t xml:space="preserve">The tapered annual allowance for higher earners </w:t>
      </w:r>
    </w:p>
    <w:p w14:paraId="42FA886B" w14:textId="6D8D34D2" w:rsidR="00A359FF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A1614D">
        <w:t xml:space="preserve"> cannot be reduced below the minimum that applies. The </w:t>
      </w:r>
      <w:r w:rsidR="00076F96">
        <w:t xml:space="preserve">Government </w:t>
      </w:r>
      <w:r w:rsidR="000D2E49">
        <w:t xml:space="preserve">has </w:t>
      </w:r>
      <w:r w:rsidR="00076F96">
        <w:t>changed these limits</w:t>
      </w:r>
      <w:r w:rsidR="004D3ED4">
        <w:t xml:space="preserve"> since they were</w:t>
      </w:r>
      <w:r w:rsidR="003B2396">
        <w:t xml:space="preserve"> first</w:t>
      </w:r>
      <w:r w:rsidR="004D3ED4">
        <w:t xml:space="preserve"> introduced</w:t>
      </w:r>
      <w:r w:rsidR="00A1614D">
        <w:t>. Table 2 shows the limits that apply</w:t>
      </w:r>
      <w:r w:rsidR="00D65921">
        <w:t>.</w:t>
      </w:r>
    </w:p>
    <w:p w14:paraId="5D305ED0" w14:textId="77777777" w:rsidR="00A359FF" w:rsidRDefault="00A359FF">
      <w:pPr>
        <w:spacing w:after="0" w:line="240" w:lineRule="auto"/>
      </w:pPr>
      <w:r>
        <w:br w:type="page"/>
      </w:r>
    </w:p>
    <w:p w14:paraId="2D43259E" w14:textId="6AF947EC" w:rsidR="00A1614D" w:rsidRDefault="00A1614D" w:rsidP="00030EEF">
      <w:pPr>
        <w:pStyle w:val="Caption"/>
      </w:pPr>
      <w:r>
        <w:lastRenderedPageBreak/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757"/>
        <w:gridCol w:w="1757"/>
        <w:gridCol w:w="1757"/>
      </w:tblGrid>
      <w:tr w:rsidR="004D3ED4" w14:paraId="6F9556B5" w14:textId="1123C3D8" w:rsidTr="00AE630C">
        <w:tc>
          <w:tcPr>
            <w:tcW w:w="2268" w:type="dxa"/>
            <w:shd w:val="clear" w:color="auto" w:fill="002060"/>
          </w:tcPr>
          <w:p w14:paraId="0406F5FE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2060"/>
            <w:vAlign w:val="center"/>
          </w:tcPr>
          <w:p w14:paraId="1A17D1B7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1ED5150D" w14:textId="18159273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2016/17 to 2019/20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46DC3653" w14:textId="23EDFF0F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2020/21</w:t>
            </w:r>
            <w:r>
              <w:rPr>
                <w:b/>
                <w:color w:val="FFFFFF" w:themeColor="background1"/>
              </w:rPr>
              <w:t xml:space="preserve"> </w:t>
            </w:r>
            <w:r w:rsidR="0077638A">
              <w:rPr>
                <w:b/>
                <w:color w:val="FFFFFF" w:themeColor="background1"/>
              </w:rPr>
              <w:t>to 2022/23</w:t>
            </w:r>
          </w:p>
        </w:tc>
        <w:tc>
          <w:tcPr>
            <w:tcW w:w="1757" w:type="dxa"/>
            <w:shd w:val="clear" w:color="auto" w:fill="002060"/>
          </w:tcPr>
          <w:p w14:paraId="241CEB32" w14:textId="0CB6535E" w:rsidR="004D3ED4" w:rsidRPr="00FF729B" w:rsidRDefault="0077638A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Limit 2023/24 onwards</w:t>
            </w:r>
          </w:p>
        </w:tc>
      </w:tr>
      <w:tr w:rsidR="004D3ED4" w14:paraId="50BAD794" w14:textId="5B223E69" w:rsidTr="00AE630C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4D3ED4" w:rsidRPr="008A2D5B" w:rsidRDefault="004D3ED4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4D3ED4" w:rsidRPr="008A2D5B" w:rsidRDefault="004D3ED4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07EBD0F" w14:textId="1B675496" w:rsidR="004D3ED4" w:rsidRPr="008A2D5B" w:rsidRDefault="004D3ED4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</w:t>
            </w:r>
            <w:r w:rsidR="00AE630C">
              <w:rPr>
                <w:rFonts w:ascii="Arial" w:hAnsi="Arial" w:cs="Arial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27A392" w14:textId="19B57EF2" w:rsidR="004D3ED4" w:rsidRDefault="004D3ED4" w:rsidP="00AE630C">
            <w:pPr>
              <w:spacing w:before="120"/>
              <w:jc w:val="center"/>
            </w:pPr>
            <w:r>
              <w:t>£110,000</w:t>
            </w:r>
          </w:p>
        </w:tc>
        <w:tc>
          <w:tcPr>
            <w:tcW w:w="1757" w:type="dxa"/>
            <w:vAlign w:val="center"/>
          </w:tcPr>
          <w:p w14:paraId="2959822E" w14:textId="41708540" w:rsidR="004D3ED4" w:rsidRDefault="004D3ED4" w:rsidP="00AE630C">
            <w:pPr>
              <w:spacing w:before="120"/>
              <w:jc w:val="center"/>
            </w:pPr>
            <w:r>
              <w:t>£200,000</w:t>
            </w:r>
          </w:p>
        </w:tc>
        <w:tc>
          <w:tcPr>
            <w:tcW w:w="1757" w:type="dxa"/>
            <w:vAlign w:val="center"/>
          </w:tcPr>
          <w:p w14:paraId="4BC1177D" w14:textId="5F0FC1B6" w:rsidR="004D3ED4" w:rsidRDefault="005231C2" w:rsidP="00AE630C">
            <w:pPr>
              <w:spacing w:before="120"/>
              <w:jc w:val="center"/>
            </w:pPr>
            <w:r>
              <w:t>£200,000</w:t>
            </w:r>
          </w:p>
        </w:tc>
      </w:tr>
      <w:tr w:rsidR="004D3ED4" w14:paraId="270D0115" w14:textId="49A0DB5B" w:rsidTr="00AE630C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E5E03DF" w14:textId="77777777" w:rsidR="004D3ED4" w:rsidRPr="008A2D5B" w:rsidRDefault="004D3ED4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7C76226" w14:textId="43360330" w:rsidR="004D3ED4" w:rsidRDefault="004D3ED4" w:rsidP="00AE630C">
            <w:pPr>
              <w:spacing w:before="120" w:after="0"/>
              <w:jc w:val="center"/>
            </w:pPr>
            <w:r>
              <w:t>£150,000</w:t>
            </w:r>
          </w:p>
        </w:tc>
        <w:tc>
          <w:tcPr>
            <w:tcW w:w="1757" w:type="dxa"/>
            <w:vAlign w:val="center"/>
          </w:tcPr>
          <w:p w14:paraId="7B71E6D4" w14:textId="1819DAB5" w:rsidR="004D3ED4" w:rsidRDefault="004D3ED4" w:rsidP="00AE630C">
            <w:pPr>
              <w:spacing w:before="120" w:after="0"/>
              <w:jc w:val="center"/>
            </w:pPr>
            <w:r>
              <w:t>£240,000</w:t>
            </w:r>
          </w:p>
        </w:tc>
        <w:tc>
          <w:tcPr>
            <w:tcW w:w="1757" w:type="dxa"/>
            <w:vAlign w:val="center"/>
          </w:tcPr>
          <w:p w14:paraId="3B0C114B" w14:textId="7D8F371A" w:rsidR="004D3ED4" w:rsidRDefault="005231C2" w:rsidP="00AE630C">
            <w:pPr>
              <w:spacing w:before="120" w:after="0"/>
              <w:jc w:val="center"/>
            </w:pPr>
            <w:r>
              <w:t>£260,000</w:t>
            </w:r>
          </w:p>
        </w:tc>
      </w:tr>
      <w:tr w:rsidR="004D3ED4" w14:paraId="28BAE156" w14:textId="6ABDB5B0" w:rsidTr="00AE630C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4A419AB3" w:rsidR="004D3ED4" w:rsidRDefault="004D3ED4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Pr="00EF1DCA">
              <w:rPr>
                <w:b/>
                <w:bCs/>
              </w:rPr>
              <w:t>A</w:t>
            </w:r>
            <w:r w:rsidRPr="00EF1DCA">
              <w:rPr>
                <w:b/>
                <w:bCs/>
                <w:spacing w:val="-80"/>
              </w:rPr>
              <w:t> </w:t>
            </w:r>
            <w:proofErr w:type="spellStart"/>
            <w:r w:rsidRPr="00EF1DCA">
              <w:rPr>
                <w:b/>
                <w:bCs/>
              </w:rPr>
              <w:t>A</w:t>
            </w:r>
            <w:proofErr w:type="spellEnd"/>
          </w:p>
          <w:p w14:paraId="38EF3BBA" w14:textId="3EE8D2CC" w:rsidR="004D3ED4" w:rsidRPr="008A2D5B" w:rsidRDefault="004D3ED4" w:rsidP="00A52E03">
            <w:pPr>
              <w:spacing w:before="120"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CD311C8" w14:textId="4F4507C9" w:rsidR="004D3ED4" w:rsidRDefault="004D3ED4" w:rsidP="00A52E03">
            <w:pPr>
              <w:spacing w:before="120" w:after="120"/>
            </w:pPr>
            <w:r>
              <w:t>If your A</w:t>
            </w:r>
            <w:r w:rsidRPr="00353CB8">
              <w:rPr>
                <w:spacing w:val="-80"/>
              </w:rPr>
              <w:t> </w:t>
            </w:r>
            <w:proofErr w:type="spellStart"/>
            <w:r>
              <w:t>A</w:t>
            </w:r>
            <w:proofErr w:type="spellEnd"/>
            <w:r>
              <w:t xml:space="preserve"> is tapered, the minimum A</w:t>
            </w:r>
            <w:r w:rsidRPr="00353CB8">
              <w:rPr>
                <w:spacing w:val="-80"/>
              </w:rPr>
              <w:t> </w:t>
            </w:r>
            <w:proofErr w:type="spellStart"/>
            <w:r>
              <w:t>A</w:t>
            </w:r>
            <w:proofErr w:type="spellEnd"/>
            <w:r>
              <w:t xml:space="preserve"> that can apply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5DFCDF" w14:textId="1FE94FA0" w:rsidR="004D3ED4" w:rsidRDefault="004D3ED4" w:rsidP="00AE630C">
            <w:pPr>
              <w:spacing w:before="120" w:after="0"/>
              <w:jc w:val="center"/>
            </w:pPr>
            <w:r>
              <w:t>£10,000</w:t>
            </w:r>
          </w:p>
        </w:tc>
        <w:tc>
          <w:tcPr>
            <w:tcW w:w="1757" w:type="dxa"/>
            <w:vAlign w:val="center"/>
          </w:tcPr>
          <w:p w14:paraId="7A2DB553" w14:textId="577974DA" w:rsidR="004D3ED4" w:rsidRDefault="004D3ED4" w:rsidP="00AE630C">
            <w:pPr>
              <w:spacing w:before="120" w:after="0"/>
              <w:jc w:val="center"/>
            </w:pPr>
            <w:r>
              <w:t>£4,000</w:t>
            </w:r>
          </w:p>
        </w:tc>
        <w:tc>
          <w:tcPr>
            <w:tcW w:w="1757" w:type="dxa"/>
            <w:vAlign w:val="center"/>
          </w:tcPr>
          <w:p w14:paraId="0AF0220B" w14:textId="24D2B7B0" w:rsidR="004D3ED4" w:rsidRDefault="005231C2" w:rsidP="00AE630C">
            <w:pPr>
              <w:spacing w:before="120" w:after="0"/>
              <w:jc w:val="center"/>
            </w:pPr>
            <w:r>
              <w:t>£10,000</w:t>
            </w: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</w:t>
      </w:r>
      <w:proofErr w:type="spellStart"/>
      <w:proofErr w:type="gramStart"/>
      <w:r>
        <w:t>eg</w:t>
      </w:r>
      <w:proofErr w:type="spellEnd"/>
      <w:proofErr w:type="gramEnd"/>
      <w:r>
        <w:t xml:space="preserve">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004EFA1D" w:rsidR="00956A2E" w:rsidRDefault="00956A2E" w:rsidP="001320A9">
      <w:r>
        <w:t>From the 2023/24 year, the taper reduces the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by £1 for £2 of adjusted income received over £260,000, until a minimum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of £10,000 is reached. The AA that applies for high earners from 6 April 2023 is shown in table 3.</w:t>
      </w:r>
    </w:p>
    <w:p w14:paraId="70DDEE0B" w14:textId="77777777" w:rsidR="00956A2E" w:rsidRDefault="00956A2E">
      <w:pPr>
        <w:spacing w:after="0" w:line="240" w:lineRule="auto"/>
      </w:pPr>
      <w:r>
        <w:br w:type="page"/>
      </w:r>
    </w:p>
    <w:p w14:paraId="32C5D085" w14:textId="079E0441" w:rsidR="005A7592" w:rsidRDefault="005A7592" w:rsidP="005A7592">
      <w:pPr>
        <w:pStyle w:val="Caption"/>
      </w:pPr>
      <w:r>
        <w:lastRenderedPageBreak/>
        <w:t xml:space="preserve">Table </w:t>
      </w:r>
      <w:r>
        <w:rPr>
          <w:noProof/>
        </w:rPr>
        <w:t>3</w:t>
      </w:r>
      <w:r>
        <w:t xml:space="preserve"> - The tapered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from 202</w:t>
      </w:r>
      <w:r w:rsidR="003B2396">
        <w:t>3</w:t>
      </w:r>
      <w:r>
        <w:t>/2</w:t>
      </w:r>
      <w:r w:rsidR="003B2396">
        <w:t>4</w:t>
      </w:r>
      <w:r>
        <w:t xml:space="preserve"> onwards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A7592" w:rsidRPr="00A03FA5" w14:paraId="29B1F630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69DD541B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AF08F2F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A7592" w:rsidRPr="00A03FA5" w14:paraId="27E83EF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B3E4982" w14:textId="23866DF6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>
              <w:t>2</w:t>
            </w:r>
            <w:r w:rsidR="003553DD">
              <w:t>6</w:t>
            </w:r>
            <w:r>
              <w:t>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F96D14D" w14:textId="4F4DC13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3553DD">
              <w:t>6</w:t>
            </w:r>
            <w:r w:rsidRPr="00A03FA5">
              <w:t>0,000</w:t>
            </w:r>
          </w:p>
        </w:tc>
      </w:tr>
      <w:tr w:rsidR="005A7592" w:rsidRPr="00A03FA5" w14:paraId="6756BF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3C4EC04" w14:textId="41D94B18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>
              <w:t>2</w:t>
            </w:r>
            <w:r w:rsidR="00F81478">
              <w:t>8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49F1E36" w14:textId="4524198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4F001E">
              <w:t>5</w:t>
            </w:r>
            <w:r w:rsidR="00F81478">
              <w:t>0</w:t>
            </w:r>
            <w:r w:rsidRPr="00A03FA5">
              <w:t>,000</w:t>
            </w:r>
          </w:p>
        </w:tc>
      </w:tr>
      <w:tr w:rsidR="005A7592" w:rsidRPr="00A03FA5" w14:paraId="21F147C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5F9BEB1" w14:textId="370298D0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30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91551D5" w14:textId="3BD333E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40</w:t>
            </w:r>
            <w:r w:rsidRPr="00A03FA5">
              <w:t>,000</w:t>
            </w:r>
          </w:p>
        </w:tc>
      </w:tr>
      <w:tr w:rsidR="005A7592" w:rsidRPr="00A03FA5" w14:paraId="2921311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05C3AC5" w14:textId="3515717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32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D47735B" w14:textId="5F60A87C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30</w:t>
            </w:r>
            <w:r w:rsidRPr="00A03FA5">
              <w:t>,000</w:t>
            </w:r>
          </w:p>
        </w:tc>
      </w:tr>
      <w:tr w:rsidR="005A7592" w:rsidRPr="00A03FA5" w14:paraId="239E9C5A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96520AF" w14:textId="3F44841F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340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7A3D7E7" w14:textId="3B90FDD2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2</w:t>
            </w:r>
            <w:r w:rsidRPr="00A03FA5">
              <w:t>0,000</w:t>
            </w:r>
          </w:p>
        </w:tc>
      </w:tr>
      <w:tr w:rsidR="005A7592" w:rsidRPr="00A03FA5" w14:paraId="1EFBC35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6E0DD99" w14:textId="42105E8A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360</w:t>
            </w:r>
            <w:r w:rsidRPr="00A03FA5">
              <w:t>,000</w:t>
            </w:r>
            <w:r w:rsidR="00F81478">
              <w:t xml:space="preserve">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4BA1F333" w14:textId="07C68E5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</w:t>
            </w:r>
            <w:r w:rsidR="00F81478">
              <w:t>0</w:t>
            </w:r>
            <w:r w:rsidRPr="00A03FA5">
              <w:t>,000</w:t>
            </w:r>
          </w:p>
        </w:tc>
      </w:tr>
    </w:tbl>
    <w:p w14:paraId="579A9572" w14:textId="3C6F2820" w:rsidR="005231C2" w:rsidRDefault="005231C2" w:rsidP="00F81478">
      <w:pPr>
        <w:spacing w:before="240"/>
      </w:pPr>
      <w:r>
        <w:t xml:space="preserve">Tables 4 and 5 shows the effect of the tapered annual allowance in the years up to </w:t>
      </w:r>
      <w:r w:rsidR="005A7592">
        <w:t>2022/23.</w:t>
      </w:r>
    </w:p>
    <w:p w14:paraId="04ED383A" w14:textId="61D83256" w:rsidR="00C13A13" w:rsidRDefault="00C13A13" w:rsidP="00C13A13">
      <w:pPr>
        <w:pStyle w:val="Caption"/>
      </w:pPr>
      <w:r>
        <w:t xml:space="preserve">Table </w:t>
      </w:r>
      <w:r w:rsidR="005A7592">
        <w:t>4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t xml:space="preserve"> </w:t>
      </w:r>
      <w:r w:rsidR="003D24B7">
        <w:t>from</w:t>
      </w:r>
      <w:r>
        <w:t xml:space="preserve"> 2020/21</w:t>
      </w:r>
      <w:r w:rsidR="003D24B7">
        <w:t xml:space="preserve"> </w:t>
      </w:r>
      <w:r w:rsidR="00647BC0">
        <w:t>to 2022/23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63CEC2FF" w14:textId="646C533D" w:rsidR="00892C17" w:rsidRDefault="00892C17" w:rsidP="005A7592">
      <w:pPr>
        <w:pStyle w:val="Caption"/>
        <w:spacing w:before="240"/>
      </w:pPr>
      <w:r>
        <w:t xml:space="preserve">Table </w:t>
      </w:r>
      <w:r w:rsidR="005A7592">
        <w:t>5</w:t>
      </w:r>
      <w:r>
        <w:t xml:space="preserve">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F81478">
        <w:trPr>
          <w:cantSplit/>
          <w:trHeight w:val="397"/>
          <w:tblHeader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716B8D01" w14:textId="77777777" w:rsidR="00956A2E" w:rsidRDefault="00956A2E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666D2596" w14:textId="562C0292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2EAEB51D" w:rsidR="00FE0C92" w:rsidRDefault="00FE0C92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F66F219" w:rsidR="00C1156E" w:rsidRDefault="00C1156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>
        <w:rPr>
          <w:lang w:eastAsia="en-GB"/>
        </w:rPr>
        <w:tab/>
        <w:t>£30,000</w:t>
      </w:r>
    </w:p>
    <w:p w14:paraId="56AB3A8D" w14:textId="014A7B30" w:rsidR="00A06B41" w:rsidRPr="00B31D6B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28E4BCB2" w:rsidR="00A06B41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savings in the year</w:t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0E1109C1" w:rsidR="00FB167D" w:rsidRDefault="00FB167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  <w:t>£187,629</w:t>
      </w:r>
    </w:p>
    <w:p w14:paraId="5CCA3D9A" w14:textId="5657E473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16FDEC70" w:rsidR="004033E7" w:rsidRDefault="00620A8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2656937C" w:rsidR="005D0389" w:rsidRDefault="005D0389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  <w:t>£</w:t>
      </w:r>
      <w:proofErr w:type="gramStart"/>
      <w:r>
        <w:rPr>
          <w:lang w:eastAsia="en-GB"/>
        </w:rPr>
        <w:t>21,263  (</w:t>
      </w:r>
      <w:proofErr w:type="gramEnd"/>
      <w:r>
        <w:rPr>
          <w:lang w:eastAsia="en-GB"/>
        </w:rPr>
        <w:t>£42,449 - £</w:t>
      </w:r>
      <w:r w:rsidR="00D361AE">
        <w:rPr>
          <w:lang w:eastAsia="en-GB"/>
        </w:rPr>
        <w:t>21,186)</w:t>
      </w:r>
    </w:p>
    <w:p w14:paraId="6570EAC4" w14:textId="4C2A13CA" w:rsidR="00D361AE" w:rsidRDefault="00EF1DC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1DCA">
        <w:rPr>
          <w:b/>
          <w:bCs/>
        </w:rPr>
        <w:t>A</w:t>
      </w:r>
      <w:r w:rsidRPr="00EF1DCA">
        <w:rPr>
          <w:b/>
          <w:bCs/>
          <w:spacing w:val="-80"/>
        </w:rPr>
        <w:t> </w:t>
      </w:r>
      <w:proofErr w:type="spellStart"/>
      <w:r w:rsidRPr="00EF1DCA">
        <w:rPr>
          <w:b/>
          <w:bCs/>
        </w:rPr>
        <w:t>A</w:t>
      </w:r>
      <w:proofErr w:type="spellEnd"/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72C9C059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7D01705C" w14:textId="77777777" w:rsidR="00004265" w:rsidRPr="0053758F" w:rsidRDefault="00004265" w:rsidP="00004265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>Example 2 – Cerys</w:t>
      </w:r>
    </w:p>
    <w:p w14:paraId="3B408790" w14:textId="77777777" w:rsidR="00004265" w:rsidRDefault="00004265" w:rsidP="00004265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  <w:t>£220,000</w:t>
      </w:r>
    </w:p>
    <w:p w14:paraId="359D68D1" w14:textId="77777777" w:rsidR="00004265" w:rsidRDefault="00004265" w:rsidP="00004265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>
        <w:rPr>
          <w:lang w:eastAsia="en-GB"/>
        </w:rPr>
        <w:tab/>
        <w:t>£27,500</w:t>
      </w:r>
      <w:r>
        <w:rPr>
          <w:lang w:eastAsia="en-GB"/>
        </w:rPr>
        <w:tab/>
      </w:r>
    </w:p>
    <w:p w14:paraId="72CAFB08" w14:textId="77777777" w:rsidR="00004265" w:rsidRDefault="00004265" w:rsidP="00004265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>£192,500</w:t>
      </w:r>
    </w:p>
    <w:p w14:paraId="700D4B54" w14:textId="77777777" w:rsidR="00004265" w:rsidRDefault="00004265" w:rsidP="00004265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£71,837</w:t>
      </w:r>
    </w:p>
    <w:p w14:paraId="490FC53C" w14:textId="77777777" w:rsidR="00004265" w:rsidRDefault="00004265" w:rsidP="00004265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>
        <w:t>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rPr>
          <w:lang w:eastAsia="en-GB"/>
        </w:rPr>
        <w:t xml:space="preserve"> will not be tapered in 2020/21. Cerys’s pension savings will be measured against the standard </w:t>
      </w:r>
      <w:r>
        <w:t>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rPr>
          <w:lang w:eastAsia="en-GB"/>
        </w:rPr>
        <w:t xml:space="preserve"> of £40,000. </w:t>
      </w:r>
    </w:p>
    <w:p w14:paraId="7D0E620A" w14:textId="77777777" w:rsidR="00004265" w:rsidRDefault="00004265" w:rsidP="00004265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>
        <w:t>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rPr>
          <w:lang w:eastAsia="en-GB"/>
        </w:rPr>
        <w:tab/>
        <w:t>£40,000</w:t>
      </w:r>
    </w:p>
    <w:p w14:paraId="2BD41245" w14:textId="77777777" w:rsidR="00004265" w:rsidRDefault="00004265" w:rsidP="00004265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</w:t>
      </w:r>
      <w:proofErr w:type="gramStart"/>
      <w:r>
        <w:rPr>
          <w:lang w:eastAsia="en-GB"/>
        </w:rPr>
        <w:t>in excess of</w:t>
      </w:r>
      <w:proofErr w:type="gramEnd"/>
      <w:r>
        <w:rPr>
          <w:lang w:eastAsia="en-GB"/>
        </w:rPr>
        <w:t xml:space="preserve"> </w:t>
      </w:r>
      <w:r>
        <w:t>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rPr>
          <w:lang w:eastAsia="en-GB"/>
        </w:rPr>
        <w:tab/>
        <w:t>£31,837</w:t>
      </w:r>
    </w:p>
    <w:p w14:paraId="01CDA5A1" w14:textId="77777777" w:rsidR="00004265" w:rsidRDefault="00004265" w:rsidP="00004265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proofErr w:type="spellStart"/>
      <w:r w:rsidRPr="00E31EBD">
        <w:rPr>
          <w:b/>
          <w:bCs/>
        </w:rPr>
        <w:t>A</w:t>
      </w:r>
      <w:proofErr w:type="spellEnd"/>
      <w:r w:rsidRPr="00C21343">
        <w:rPr>
          <w:b/>
          <w:lang w:eastAsia="en-GB"/>
        </w:rPr>
        <w:t xml:space="preserve"> tax charge</w:t>
      </w:r>
      <w:r>
        <w:rPr>
          <w:lang w:eastAsia="en-GB"/>
        </w:rPr>
        <w:t xml:space="preserve"> at marginal rate</w:t>
      </w:r>
      <w:r>
        <w:rPr>
          <w:lang w:eastAsia="en-GB"/>
        </w:rPr>
        <w:tab/>
        <w:t>£14,327 (marginal rate of 45% assumed)</w:t>
      </w:r>
    </w:p>
    <w:p w14:paraId="4B6756F5" w14:textId="77777777" w:rsidR="001C2515" w:rsidRDefault="001C2515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64A2DDD7" w14:textId="567FC002" w:rsidR="002D1DF5" w:rsidRDefault="002D1DF5">
      <w:pPr>
        <w:spacing w:after="0" w:line="240" w:lineRule="auto"/>
        <w:rPr>
          <w:sz w:val="2"/>
          <w:lang w:eastAsia="en-GB"/>
        </w:rPr>
      </w:pP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proofErr w:type="spellStart"/>
      <w:r w:rsidRPr="00EF711B">
        <w:rPr>
          <w:b/>
          <w:bCs/>
        </w:rPr>
        <w:t>A</w:t>
      </w:r>
      <w:proofErr w:type="spellEnd"/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15DA652E" w14:textId="77777777" w:rsidR="00735AC6" w:rsidRPr="0091672C" w:rsidRDefault="00735AC6" w:rsidP="0053758F">
      <w:pPr>
        <w:pStyle w:val="Heading2"/>
        <w:rPr>
          <w:color w:val="auto"/>
        </w:rPr>
      </w:pPr>
      <w:r w:rsidRPr="0091672C">
        <w:rPr>
          <w:color w:val="auto"/>
        </w:rPr>
        <w:t xml:space="preserve">Annual Allowance ‘Flexible Benefit’ </w:t>
      </w:r>
      <w:r w:rsidR="00E73AC8" w:rsidRPr="0091672C">
        <w:rPr>
          <w:color w:val="auto"/>
        </w:rPr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lastRenderedPageBreak/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3D8A4385" w14:textId="4238B86B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 xml:space="preserve">2017/18 </w:t>
            </w:r>
            <w:r w:rsidR="009270A3">
              <w:rPr>
                <w:rFonts w:eastAsia="Times New Roman" w:cs="Arial"/>
                <w:szCs w:val="24"/>
                <w:lang w:eastAsia="en-GB"/>
              </w:rPr>
              <w:t>to 2022/23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  <w:tr w:rsidR="009270A3" w:rsidRPr="002B526A" w14:paraId="6F5D62D3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009A4694" w14:textId="7848558B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2023/24 onwards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924BF2" w14:textId="248DDBCD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7854E3" w14:textId="26024FE6" w:rsidR="009270A3" w:rsidRPr="002B526A" w:rsidRDefault="009F3A36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£50,000</w:t>
            </w:r>
          </w:p>
        </w:tc>
      </w:tr>
    </w:tbl>
    <w:p w14:paraId="3A4680F9" w14:textId="2E006D59" w:rsidR="000C501E" w:rsidRDefault="00E0543A" w:rsidP="008C2715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</w:t>
      </w:r>
      <w:r w:rsidR="00024574">
        <w:rPr>
          <w:rFonts w:eastAsia="Times New Roman" w:cs="Arial"/>
          <w:szCs w:val="24"/>
          <w:lang w:eastAsia="en-GB"/>
        </w:rPr>
        <w:t>the Berkshire Pension Fund</w:t>
      </w:r>
      <w:r w:rsidR="00E73AC8" w:rsidRPr="00E0543A">
        <w:rPr>
          <w:rFonts w:eastAsia="Times New Roman" w:cs="Arial"/>
          <w:color w:val="FF0000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Pr="00024574" w:rsidRDefault="00142E9C" w:rsidP="0053758F">
      <w:pPr>
        <w:pStyle w:val="Heading2"/>
        <w:rPr>
          <w:color w:val="auto"/>
        </w:rPr>
      </w:pPr>
      <w:r w:rsidRPr="00024574">
        <w:rPr>
          <w:color w:val="auto"/>
        </w:rPr>
        <w:t xml:space="preserve">How would I pay an </w:t>
      </w:r>
      <w:r w:rsidR="00FF226B" w:rsidRPr="00024574">
        <w:rPr>
          <w:color w:val="auto"/>
        </w:rPr>
        <w:t>a</w:t>
      </w:r>
      <w:r w:rsidRPr="00024574">
        <w:rPr>
          <w:color w:val="auto"/>
        </w:rPr>
        <w:t xml:space="preserve">nnual </w:t>
      </w:r>
      <w:r w:rsidR="00FF226B" w:rsidRPr="00024574">
        <w:rPr>
          <w:color w:val="auto"/>
        </w:rPr>
        <w:t>a</w:t>
      </w:r>
      <w:r w:rsidRPr="00024574">
        <w:rPr>
          <w:color w:val="auto"/>
        </w:rPr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50CE008A" w:rsidR="004D1D69" w:rsidRDefault="00024574" w:rsidP="00382912">
      <w:r w:rsidRPr="00024574">
        <w:rPr>
          <w:color w:val="auto"/>
        </w:rPr>
        <w:t xml:space="preserve">Berkshire Pension Fund </w:t>
      </w:r>
      <w:r w:rsidR="00030EEF" w:rsidRPr="00024574">
        <w:rPr>
          <w:color w:val="auto"/>
        </w:rPr>
        <w:t>must</w:t>
      </w:r>
      <w:r w:rsidR="00142E9C" w:rsidRPr="00024574">
        <w:rPr>
          <w:color w:val="auto"/>
        </w:rPr>
        <w:t xml:space="preserve"> </w:t>
      </w:r>
      <w:r w:rsidR="00142E9C">
        <w:t xml:space="preserve">notify 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 w:rsidR="00142E9C"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 w:rsidR="00142E9C"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>which follows the end of the PIP</w:t>
      </w:r>
      <w:r w:rsidR="00D22CCA">
        <w:t xml:space="preserve">. </w:t>
      </w:r>
      <w:r w:rsidRPr="00024574">
        <w:rPr>
          <w:color w:val="auto"/>
        </w:rPr>
        <w:t xml:space="preserve">The Berkshire Pension Fund </w:t>
      </w:r>
      <w:r w:rsidR="00472CD2" w:rsidRPr="00024574">
        <w:rPr>
          <w:color w:val="auto"/>
        </w:rPr>
        <w:t xml:space="preserve">is not </w:t>
      </w:r>
      <w:r w:rsidR="00472CD2">
        <w:t xml:space="preserve">obliged to inform you if you exceed the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02951FAD" w:rsidR="00142E9C" w:rsidRDefault="00142E9C" w:rsidP="00382912">
      <w:r w:rsidRPr="00142E9C"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</w:t>
      </w:r>
      <w:proofErr w:type="gramStart"/>
      <w:r w:rsidRPr="00142E9C">
        <w:t>all of</w:t>
      </w:r>
      <w:proofErr w:type="gramEnd"/>
      <w:r w:rsidRPr="00142E9C">
        <w:t xml:space="preserve"> an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024574" w:rsidRPr="00024574">
        <w:rPr>
          <w:color w:val="auto"/>
        </w:rPr>
        <w:t>the Berkshire Pension Fund</w:t>
      </w:r>
      <w:r w:rsidRPr="00024574">
        <w:rPr>
          <w:color w:val="auto"/>
        </w:rPr>
        <w:t xml:space="preserve"> </w:t>
      </w:r>
      <w:r w:rsidRPr="00142E9C">
        <w:t>no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>d tak</w:t>
      </w:r>
      <w:r w:rsidR="00B07EAD">
        <w:t>ing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427B89A7" w14:textId="77777777" w:rsidR="00227AAD" w:rsidRPr="003B4056" w:rsidRDefault="003F2675" w:rsidP="0053758F">
      <w:pPr>
        <w:pStyle w:val="Heading2"/>
        <w:rPr>
          <w:color w:val="auto"/>
        </w:rPr>
      </w:pPr>
      <w:r w:rsidRPr="003B4056">
        <w:rPr>
          <w:color w:val="auto"/>
        </w:rPr>
        <w:lastRenderedPageBreak/>
        <w:t>Am I affected</w:t>
      </w:r>
      <w:r w:rsidR="00227AAD" w:rsidRPr="003B4056">
        <w:rPr>
          <w:color w:val="auto"/>
        </w:rPr>
        <w:t>?</w:t>
      </w:r>
    </w:p>
    <w:p w14:paraId="185C9254" w14:textId="301E37DC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4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5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Pr="003B4056" w:rsidRDefault="005C3DA4" w:rsidP="0053758F">
      <w:pPr>
        <w:pStyle w:val="Heading2"/>
        <w:rPr>
          <w:color w:val="auto"/>
        </w:rPr>
      </w:pPr>
      <w:r w:rsidRPr="003B4056">
        <w:rPr>
          <w:color w:val="auto"/>
        </w:rPr>
        <w:t>More information</w:t>
      </w:r>
    </w:p>
    <w:p w14:paraId="0EC5BE50" w14:textId="72870DC3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membership or benefits, please contact:</w:t>
      </w:r>
    </w:p>
    <w:p w14:paraId="5322AA66" w14:textId="7AFB33BA" w:rsidR="005C3DA4" w:rsidRDefault="00004265" w:rsidP="001320A9">
      <w:pPr>
        <w:rPr>
          <w:rFonts w:eastAsia="Times New Roman" w:cs="Arial"/>
          <w:color w:val="auto"/>
          <w:szCs w:val="24"/>
          <w:lang w:eastAsia="en-GB"/>
        </w:rPr>
      </w:pPr>
      <w:r w:rsidRPr="00004265">
        <w:rPr>
          <w:rFonts w:eastAsia="Times New Roman" w:cs="Arial"/>
          <w:b/>
          <w:bCs/>
          <w:color w:val="auto"/>
          <w:szCs w:val="24"/>
          <w:lang w:eastAsia="en-GB"/>
        </w:rPr>
        <w:t>Tel: 01628 796 668</w:t>
      </w:r>
      <w:r w:rsidRPr="00004265">
        <w:rPr>
          <w:rFonts w:eastAsia="Times New Roman" w:cs="Arial"/>
          <w:color w:val="auto"/>
          <w:szCs w:val="24"/>
          <w:lang w:eastAsia="en-GB"/>
        </w:rPr>
        <w:t xml:space="preserve"> or </w:t>
      </w:r>
      <w:r w:rsidRPr="00004265">
        <w:rPr>
          <w:rFonts w:eastAsia="Times New Roman" w:cs="Arial"/>
          <w:b/>
          <w:bCs/>
          <w:color w:val="auto"/>
          <w:szCs w:val="24"/>
          <w:lang w:eastAsia="en-GB"/>
        </w:rPr>
        <w:t>e-mail</w:t>
      </w:r>
      <w:r w:rsidRPr="00004265">
        <w:rPr>
          <w:rFonts w:eastAsia="Times New Roman" w:cs="Arial"/>
          <w:color w:val="auto"/>
          <w:szCs w:val="24"/>
          <w:lang w:eastAsia="en-GB"/>
        </w:rPr>
        <w:t xml:space="preserve"> </w:t>
      </w:r>
      <w:hyperlink r:id="rId16" w:history="1">
        <w:r w:rsidRPr="00432E96">
          <w:rPr>
            <w:rStyle w:val="Hyperlink"/>
            <w:rFonts w:eastAsia="Times New Roman" w:cs="Arial"/>
            <w:szCs w:val="24"/>
            <w:lang w:eastAsia="en-GB"/>
          </w:rPr>
          <w:t>info@berkshirepensions.org.uk</w:t>
        </w:r>
      </w:hyperlink>
    </w:p>
    <w:p w14:paraId="35871C62" w14:textId="73DBF3B6" w:rsidR="00695847" w:rsidRPr="00004265" w:rsidRDefault="00695847" w:rsidP="0053758F">
      <w:pPr>
        <w:pStyle w:val="Heading2"/>
        <w:rPr>
          <w:color w:val="auto"/>
        </w:rPr>
      </w:pPr>
      <w:r w:rsidRPr="00004265">
        <w:rPr>
          <w:color w:val="auto"/>
        </w:rPr>
        <w:t>Disclaimer</w:t>
      </w:r>
    </w:p>
    <w:p w14:paraId="7191560A" w14:textId="74E5516E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proofErr w:type="spellStart"/>
      <w:r w:rsidR="003D1D9B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rules </w:t>
      </w:r>
      <w:proofErr w:type="gramStart"/>
      <w:r>
        <w:rPr>
          <w:rFonts w:eastAsia="Times New Roman" w:cs="Arial"/>
          <w:szCs w:val="24"/>
          <w:lang w:eastAsia="en-GB"/>
        </w:rPr>
        <w:t>at</w:t>
      </w:r>
      <w:proofErr w:type="gramEnd"/>
      <w:r>
        <w:rPr>
          <w:rFonts w:eastAsia="Times New Roman" w:cs="Arial"/>
          <w:szCs w:val="24"/>
          <w:lang w:eastAsia="en-GB"/>
        </w:rPr>
        <w:t xml:space="preserve"> </w:t>
      </w:r>
      <w:r w:rsidR="00716372">
        <w:rPr>
          <w:rFonts w:eastAsia="Times New Roman" w:cs="Arial"/>
          <w:szCs w:val="24"/>
          <w:lang w:eastAsia="en-GB"/>
        </w:rPr>
        <w:t>April</w:t>
      </w:r>
      <w:r>
        <w:rPr>
          <w:rFonts w:eastAsia="Times New Roman" w:cs="Arial"/>
          <w:szCs w:val="24"/>
          <w:lang w:eastAsia="en-GB"/>
        </w:rPr>
        <w:t xml:space="preserve"> 202</w:t>
      </w:r>
      <w:r w:rsidR="00716372">
        <w:rPr>
          <w:rFonts w:eastAsia="Times New Roman" w:cs="Arial"/>
          <w:szCs w:val="24"/>
          <w:lang w:eastAsia="en-GB"/>
        </w:rPr>
        <w:t>3</w:t>
      </w:r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proofErr w:type="spellStart"/>
      <w:r w:rsidR="003D1D9B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7" w:history="1">
        <w:proofErr w:type="spellStart"/>
        <w:r w:rsidR="00716372">
          <w:rPr>
            <w:rStyle w:val="Hyperlink"/>
            <w:rFonts w:eastAsia="Times New Roman" w:cs="Arial"/>
            <w:szCs w:val="24"/>
            <w:lang w:eastAsia="en-GB"/>
          </w:rPr>
          <w:t>MoneyHelper</w:t>
        </w:r>
        <w:proofErr w:type="spellEnd"/>
        <w:r w:rsidR="00716372">
          <w:rPr>
            <w:rStyle w:val="Hyperlink"/>
            <w:rFonts w:eastAsia="Times New Roman" w:cs="Arial"/>
            <w:szCs w:val="24"/>
            <w:lang w:eastAsia="en-GB"/>
          </w:rPr>
          <w:t xml:space="preserve">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footerReference w:type="default" r:id="rId1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8953" w14:textId="77777777" w:rsidR="006963BA" w:rsidRDefault="006963BA" w:rsidP="003E1D74">
      <w:r>
        <w:separator/>
      </w:r>
    </w:p>
    <w:p w14:paraId="4334DE10" w14:textId="77777777" w:rsidR="006963BA" w:rsidRDefault="006963BA"/>
  </w:endnote>
  <w:endnote w:type="continuationSeparator" w:id="0">
    <w:p w14:paraId="2274C92B" w14:textId="77777777" w:rsidR="006963BA" w:rsidRDefault="006963BA" w:rsidP="003E1D74">
      <w:r>
        <w:continuationSeparator/>
      </w:r>
    </w:p>
    <w:p w14:paraId="75562E5D" w14:textId="77777777" w:rsidR="006963BA" w:rsidRDefault="006963BA"/>
  </w:endnote>
  <w:endnote w:type="continuationNotice" w:id="1">
    <w:p w14:paraId="06E4A359" w14:textId="77777777" w:rsidR="006963BA" w:rsidRDefault="006963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027D343B" w:rsidR="00621D5A" w:rsidRDefault="0091672C" w:rsidP="00C21A77">
    <w:pPr>
      <w:pStyle w:val="Footer"/>
      <w:tabs>
        <w:tab w:val="right" w:pos="9746"/>
      </w:tabs>
      <w:spacing w:before="240" w:after="0"/>
    </w:pPr>
    <w:r>
      <w:t>LGPSAA 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593F" w14:textId="77777777" w:rsidR="006963BA" w:rsidRDefault="006963BA" w:rsidP="003E1D74">
      <w:r>
        <w:separator/>
      </w:r>
    </w:p>
    <w:p w14:paraId="19A89038" w14:textId="77777777" w:rsidR="006963BA" w:rsidRDefault="006963BA"/>
  </w:footnote>
  <w:footnote w:type="continuationSeparator" w:id="0">
    <w:p w14:paraId="1BFCA88C" w14:textId="77777777" w:rsidR="006963BA" w:rsidRDefault="006963BA" w:rsidP="003E1D74">
      <w:r>
        <w:continuationSeparator/>
      </w:r>
    </w:p>
    <w:p w14:paraId="46DAD069" w14:textId="77777777" w:rsidR="006963BA" w:rsidRDefault="006963BA"/>
  </w:footnote>
  <w:footnote w:type="continuationNotice" w:id="1">
    <w:p w14:paraId="100D265A" w14:textId="77777777" w:rsidR="006963BA" w:rsidRDefault="006963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99508425">
    <w:abstractNumId w:val="8"/>
  </w:num>
  <w:num w:numId="2" w16cid:durableId="1051149494">
    <w:abstractNumId w:val="14"/>
  </w:num>
  <w:num w:numId="3" w16cid:durableId="711614544">
    <w:abstractNumId w:val="2"/>
  </w:num>
  <w:num w:numId="4" w16cid:durableId="939551">
    <w:abstractNumId w:val="11"/>
  </w:num>
  <w:num w:numId="5" w16cid:durableId="2119567488">
    <w:abstractNumId w:val="4"/>
  </w:num>
  <w:num w:numId="6" w16cid:durableId="2068602356">
    <w:abstractNumId w:val="1"/>
  </w:num>
  <w:num w:numId="7" w16cid:durableId="953706851">
    <w:abstractNumId w:val="9"/>
  </w:num>
  <w:num w:numId="8" w16cid:durableId="2015650103">
    <w:abstractNumId w:val="10"/>
  </w:num>
  <w:num w:numId="9" w16cid:durableId="1010836263">
    <w:abstractNumId w:val="5"/>
  </w:num>
  <w:num w:numId="10" w16cid:durableId="877861704">
    <w:abstractNumId w:val="6"/>
  </w:num>
  <w:num w:numId="11" w16cid:durableId="688718749">
    <w:abstractNumId w:val="7"/>
  </w:num>
  <w:num w:numId="12" w16cid:durableId="810245973">
    <w:abstractNumId w:val="13"/>
  </w:num>
  <w:num w:numId="13" w16cid:durableId="1887449863">
    <w:abstractNumId w:val="12"/>
  </w:num>
  <w:num w:numId="14" w16cid:durableId="525019760">
    <w:abstractNumId w:val="0"/>
  </w:num>
  <w:num w:numId="15" w16cid:durableId="450442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02FAE"/>
    <w:rsid w:val="00004265"/>
    <w:rsid w:val="00006660"/>
    <w:rsid w:val="00024574"/>
    <w:rsid w:val="00030388"/>
    <w:rsid w:val="00030EEF"/>
    <w:rsid w:val="000358B2"/>
    <w:rsid w:val="0003717A"/>
    <w:rsid w:val="000649B4"/>
    <w:rsid w:val="000649DA"/>
    <w:rsid w:val="0007012E"/>
    <w:rsid w:val="00075C82"/>
    <w:rsid w:val="0007685D"/>
    <w:rsid w:val="00076F96"/>
    <w:rsid w:val="00077AD6"/>
    <w:rsid w:val="000804D7"/>
    <w:rsid w:val="00086A55"/>
    <w:rsid w:val="000977DE"/>
    <w:rsid w:val="000A4364"/>
    <w:rsid w:val="000A7CD5"/>
    <w:rsid w:val="000B7262"/>
    <w:rsid w:val="000B769F"/>
    <w:rsid w:val="000C501E"/>
    <w:rsid w:val="000D271E"/>
    <w:rsid w:val="000D2E49"/>
    <w:rsid w:val="000E42B8"/>
    <w:rsid w:val="000F587B"/>
    <w:rsid w:val="00114F56"/>
    <w:rsid w:val="001320A9"/>
    <w:rsid w:val="001377F8"/>
    <w:rsid w:val="0014112C"/>
    <w:rsid w:val="00142E9C"/>
    <w:rsid w:val="00147635"/>
    <w:rsid w:val="00165175"/>
    <w:rsid w:val="00172F92"/>
    <w:rsid w:val="00181C09"/>
    <w:rsid w:val="00192830"/>
    <w:rsid w:val="00192CF9"/>
    <w:rsid w:val="0019587B"/>
    <w:rsid w:val="001A0747"/>
    <w:rsid w:val="001A7D1C"/>
    <w:rsid w:val="001B17C0"/>
    <w:rsid w:val="001B36CE"/>
    <w:rsid w:val="001C2515"/>
    <w:rsid w:val="001C2E1E"/>
    <w:rsid w:val="001C5B9F"/>
    <w:rsid w:val="001C63CE"/>
    <w:rsid w:val="001D63B8"/>
    <w:rsid w:val="001E553C"/>
    <w:rsid w:val="001E5823"/>
    <w:rsid w:val="00202432"/>
    <w:rsid w:val="00206A0A"/>
    <w:rsid w:val="00210E09"/>
    <w:rsid w:val="00215A0E"/>
    <w:rsid w:val="0021608A"/>
    <w:rsid w:val="00226750"/>
    <w:rsid w:val="00227AAD"/>
    <w:rsid w:val="0023182D"/>
    <w:rsid w:val="00240D65"/>
    <w:rsid w:val="00243206"/>
    <w:rsid w:val="00253B47"/>
    <w:rsid w:val="00253F03"/>
    <w:rsid w:val="00264BD8"/>
    <w:rsid w:val="00271521"/>
    <w:rsid w:val="00273833"/>
    <w:rsid w:val="00275E08"/>
    <w:rsid w:val="00287565"/>
    <w:rsid w:val="002A7004"/>
    <w:rsid w:val="002B0B32"/>
    <w:rsid w:val="002B1A70"/>
    <w:rsid w:val="002B526A"/>
    <w:rsid w:val="002D1DF5"/>
    <w:rsid w:val="002D5E58"/>
    <w:rsid w:val="002D613D"/>
    <w:rsid w:val="002D7255"/>
    <w:rsid w:val="002E2845"/>
    <w:rsid w:val="002E2AC0"/>
    <w:rsid w:val="002E50F8"/>
    <w:rsid w:val="002E655D"/>
    <w:rsid w:val="002E75B7"/>
    <w:rsid w:val="002F22B6"/>
    <w:rsid w:val="002F658D"/>
    <w:rsid w:val="002F7BE9"/>
    <w:rsid w:val="00307918"/>
    <w:rsid w:val="00313A16"/>
    <w:rsid w:val="00320C2B"/>
    <w:rsid w:val="00322E44"/>
    <w:rsid w:val="0034718F"/>
    <w:rsid w:val="00352C49"/>
    <w:rsid w:val="00353CB8"/>
    <w:rsid w:val="003553DD"/>
    <w:rsid w:val="003578CC"/>
    <w:rsid w:val="00361710"/>
    <w:rsid w:val="003636E7"/>
    <w:rsid w:val="00372786"/>
    <w:rsid w:val="00373C23"/>
    <w:rsid w:val="0037736E"/>
    <w:rsid w:val="00382912"/>
    <w:rsid w:val="00386A23"/>
    <w:rsid w:val="00397711"/>
    <w:rsid w:val="003A0784"/>
    <w:rsid w:val="003B0E2E"/>
    <w:rsid w:val="003B2396"/>
    <w:rsid w:val="003B4056"/>
    <w:rsid w:val="003B54B2"/>
    <w:rsid w:val="003D1D9B"/>
    <w:rsid w:val="003D24B7"/>
    <w:rsid w:val="003D3935"/>
    <w:rsid w:val="003E185E"/>
    <w:rsid w:val="003E1D74"/>
    <w:rsid w:val="003E7416"/>
    <w:rsid w:val="003F2675"/>
    <w:rsid w:val="003F2F38"/>
    <w:rsid w:val="003F5ECB"/>
    <w:rsid w:val="0040014C"/>
    <w:rsid w:val="004033E7"/>
    <w:rsid w:val="0040571D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975CA"/>
    <w:rsid w:val="004A1F81"/>
    <w:rsid w:val="004A22E3"/>
    <w:rsid w:val="004A6DF3"/>
    <w:rsid w:val="004B7FA8"/>
    <w:rsid w:val="004C5BBC"/>
    <w:rsid w:val="004D1D69"/>
    <w:rsid w:val="004D1D6A"/>
    <w:rsid w:val="004D3ED4"/>
    <w:rsid w:val="004E4E9D"/>
    <w:rsid w:val="004E6E84"/>
    <w:rsid w:val="004F001E"/>
    <w:rsid w:val="00501B7C"/>
    <w:rsid w:val="005030B5"/>
    <w:rsid w:val="005055BF"/>
    <w:rsid w:val="00514DCC"/>
    <w:rsid w:val="005153BF"/>
    <w:rsid w:val="0051717F"/>
    <w:rsid w:val="005231C2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3B57"/>
    <w:rsid w:val="005A5138"/>
    <w:rsid w:val="005A7592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47BC0"/>
    <w:rsid w:val="00671C7D"/>
    <w:rsid w:val="006875D8"/>
    <w:rsid w:val="00695847"/>
    <w:rsid w:val="006963BA"/>
    <w:rsid w:val="006A263C"/>
    <w:rsid w:val="006B1404"/>
    <w:rsid w:val="006E36EA"/>
    <w:rsid w:val="006E6414"/>
    <w:rsid w:val="006F07F4"/>
    <w:rsid w:val="00715BD3"/>
    <w:rsid w:val="00716372"/>
    <w:rsid w:val="00735AC6"/>
    <w:rsid w:val="00750723"/>
    <w:rsid w:val="00756282"/>
    <w:rsid w:val="007632C2"/>
    <w:rsid w:val="007636C4"/>
    <w:rsid w:val="0077045D"/>
    <w:rsid w:val="0077638A"/>
    <w:rsid w:val="0077739D"/>
    <w:rsid w:val="00785327"/>
    <w:rsid w:val="00793A50"/>
    <w:rsid w:val="007957FF"/>
    <w:rsid w:val="0079648E"/>
    <w:rsid w:val="007A68DF"/>
    <w:rsid w:val="007B2E91"/>
    <w:rsid w:val="007B38BF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54F84"/>
    <w:rsid w:val="0086192A"/>
    <w:rsid w:val="00861E6A"/>
    <w:rsid w:val="00862CA3"/>
    <w:rsid w:val="008712A0"/>
    <w:rsid w:val="00872CB4"/>
    <w:rsid w:val="00873692"/>
    <w:rsid w:val="00887472"/>
    <w:rsid w:val="00887E07"/>
    <w:rsid w:val="00890C21"/>
    <w:rsid w:val="00891AE9"/>
    <w:rsid w:val="00892C17"/>
    <w:rsid w:val="008944B7"/>
    <w:rsid w:val="008A2D5B"/>
    <w:rsid w:val="008A2F57"/>
    <w:rsid w:val="008A72D9"/>
    <w:rsid w:val="008B3E71"/>
    <w:rsid w:val="008C1F18"/>
    <w:rsid w:val="008C2715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07BDF"/>
    <w:rsid w:val="00915DB6"/>
    <w:rsid w:val="0091672C"/>
    <w:rsid w:val="00924D83"/>
    <w:rsid w:val="00925030"/>
    <w:rsid w:val="009270A3"/>
    <w:rsid w:val="009450F0"/>
    <w:rsid w:val="00946980"/>
    <w:rsid w:val="0095378F"/>
    <w:rsid w:val="0095575E"/>
    <w:rsid w:val="00956A2E"/>
    <w:rsid w:val="00957D03"/>
    <w:rsid w:val="00961B36"/>
    <w:rsid w:val="00965D46"/>
    <w:rsid w:val="00984594"/>
    <w:rsid w:val="009864CA"/>
    <w:rsid w:val="00987130"/>
    <w:rsid w:val="00990B09"/>
    <w:rsid w:val="0099659A"/>
    <w:rsid w:val="009A15B3"/>
    <w:rsid w:val="009A5B1D"/>
    <w:rsid w:val="009A72EC"/>
    <w:rsid w:val="009B2E42"/>
    <w:rsid w:val="009B36CE"/>
    <w:rsid w:val="009B4C43"/>
    <w:rsid w:val="009B619E"/>
    <w:rsid w:val="009B737D"/>
    <w:rsid w:val="009C29ED"/>
    <w:rsid w:val="009C73F1"/>
    <w:rsid w:val="009D04CF"/>
    <w:rsid w:val="009E1AB5"/>
    <w:rsid w:val="009E1D4E"/>
    <w:rsid w:val="009E2663"/>
    <w:rsid w:val="009F0925"/>
    <w:rsid w:val="009F3A36"/>
    <w:rsid w:val="00A01C38"/>
    <w:rsid w:val="00A01F90"/>
    <w:rsid w:val="00A03FA5"/>
    <w:rsid w:val="00A0695F"/>
    <w:rsid w:val="00A06B41"/>
    <w:rsid w:val="00A1187A"/>
    <w:rsid w:val="00A1614D"/>
    <w:rsid w:val="00A161B7"/>
    <w:rsid w:val="00A224FC"/>
    <w:rsid w:val="00A22523"/>
    <w:rsid w:val="00A27119"/>
    <w:rsid w:val="00A31BCE"/>
    <w:rsid w:val="00A33FE3"/>
    <w:rsid w:val="00A3532E"/>
    <w:rsid w:val="00A359FF"/>
    <w:rsid w:val="00A36F64"/>
    <w:rsid w:val="00A449C3"/>
    <w:rsid w:val="00A4691F"/>
    <w:rsid w:val="00A52E03"/>
    <w:rsid w:val="00A653E1"/>
    <w:rsid w:val="00A6591C"/>
    <w:rsid w:val="00A76889"/>
    <w:rsid w:val="00A87D11"/>
    <w:rsid w:val="00AA0434"/>
    <w:rsid w:val="00AA6201"/>
    <w:rsid w:val="00AC6433"/>
    <w:rsid w:val="00AC7A81"/>
    <w:rsid w:val="00AD68C5"/>
    <w:rsid w:val="00AD7E1E"/>
    <w:rsid w:val="00AE48DA"/>
    <w:rsid w:val="00AE5A7D"/>
    <w:rsid w:val="00AE630C"/>
    <w:rsid w:val="00AE7BFC"/>
    <w:rsid w:val="00AF2D6D"/>
    <w:rsid w:val="00AF6BC1"/>
    <w:rsid w:val="00AF71C3"/>
    <w:rsid w:val="00B02DE4"/>
    <w:rsid w:val="00B0635F"/>
    <w:rsid w:val="00B0755C"/>
    <w:rsid w:val="00B07EAD"/>
    <w:rsid w:val="00B1249A"/>
    <w:rsid w:val="00B12C58"/>
    <w:rsid w:val="00B2148C"/>
    <w:rsid w:val="00B27662"/>
    <w:rsid w:val="00B31D6B"/>
    <w:rsid w:val="00B34D14"/>
    <w:rsid w:val="00B45144"/>
    <w:rsid w:val="00B54823"/>
    <w:rsid w:val="00B54EDF"/>
    <w:rsid w:val="00B86C30"/>
    <w:rsid w:val="00BB267B"/>
    <w:rsid w:val="00BC2873"/>
    <w:rsid w:val="00BC4779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53FEB"/>
    <w:rsid w:val="00C62D9C"/>
    <w:rsid w:val="00C66CD8"/>
    <w:rsid w:val="00C7730D"/>
    <w:rsid w:val="00C951BE"/>
    <w:rsid w:val="00C953C1"/>
    <w:rsid w:val="00C966C4"/>
    <w:rsid w:val="00CB2332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14635"/>
    <w:rsid w:val="00D20585"/>
    <w:rsid w:val="00D22CCA"/>
    <w:rsid w:val="00D24A67"/>
    <w:rsid w:val="00D24CA7"/>
    <w:rsid w:val="00D256B3"/>
    <w:rsid w:val="00D266DC"/>
    <w:rsid w:val="00D267E2"/>
    <w:rsid w:val="00D311E2"/>
    <w:rsid w:val="00D3123A"/>
    <w:rsid w:val="00D35A97"/>
    <w:rsid w:val="00D361AE"/>
    <w:rsid w:val="00D366B1"/>
    <w:rsid w:val="00D41EFF"/>
    <w:rsid w:val="00D45AF6"/>
    <w:rsid w:val="00D45B4D"/>
    <w:rsid w:val="00D557A5"/>
    <w:rsid w:val="00D61B95"/>
    <w:rsid w:val="00D61F39"/>
    <w:rsid w:val="00D65921"/>
    <w:rsid w:val="00D74203"/>
    <w:rsid w:val="00D75972"/>
    <w:rsid w:val="00D7781E"/>
    <w:rsid w:val="00D84880"/>
    <w:rsid w:val="00D97DDC"/>
    <w:rsid w:val="00DA3026"/>
    <w:rsid w:val="00DA59A0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121A"/>
    <w:rsid w:val="00E20E94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C0E56"/>
    <w:rsid w:val="00EC39F7"/>
    <w:rsid w:val="00ED1346"/>
    <w:rsid w:val="00ED3A56"/>
    <w:rsid w:val="00ED5096"/>
    <w:rsid w:val="00ED5364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0172"/>
    <w:rsid w:val="00F55D5A"/>
    <w:rsid w:val="00F565B8"/>
    <w:rsid w:val="00F575E2"/>
    <w:rsid w:val="00F7044E"/>
    <w:rsid w:val="00F70F56"/>
    <w:rsid w:val="00F81478"/>
    <w:rsid w:val="00F97FC3"/>
    <w:rsid w:val="00FA14C1"/>
    <w:rsid w:val="00FA18FE"/>
    <w:rsid w:val="00FB167D"/>
    <w:rsid w:val="00FC3549"/>
    <w:rsid w:val="00FC6F90"/>
    <w:rsid w:val="00FD19E8"/>
    <w:rsid w:val="00FD4ADD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neyhelper.org.uk/en/getting-help-and-advice/financial-advisers/choosing-a-financial-advis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rkshirepensions.org.uk/bpf/pension-contributions/5050-section" TargetMode="External"/><Relationship Id="rId17" Type="http://schemas.openxmlformats.org/officeDocument/2006/relationships/hyperlink" Target="https://www.moneyhelper.org.uk/en/getting-help-and-advice/financial-advisers/choosing-a-financial-advis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berkshirepensions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rkshirepensions.org.uk/bpf/pension-contributions/5050-sec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gpsmember.org/help-and-support/tools-and-calculators/annual-allowance-quick-check-tool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tax-on-your-private-pension/annual-allow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2" ma:contentTypeDescription="Create a new document." ma:contentTypeScope="" ma:versionID="f2501638edcbe16c029d13998bc3a24e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905fdd1330d8a22616bde3e3d47abe98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36BAD-C472-4BEA-A214-0778EF11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customXml/itemProps4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Philip Boyton</cp:lastModifiedBy>
  <cp:revision>2</cp:revision>
  <cp:lastPrinted>2016-06-17T11:11:00Z</cp:lastPrinted>
  <dcterms:created xsi:type="dcterms:W3CDTF">2024-02-26T11:50:00Z</dcterms:created>
  <dcterms:modified xsi:type="dcterms:W3CDTF">2024-02-26T11:50:00Z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